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before="0" w:after="440" w:line="264" w:lineRule="auto"/>
        <w:jc w:val="center"/>
      </w:pPr>
      <w:r>
        <w:rPr>
          <w:rFonts w:ascii="Calibri" w:hAnsi="Calibri"/>
          <w:b/>
          <w:i w:val="0"/>
          <w:color w:val="188A8A"/>
          <w:sz w:val="18"/>
        </w:rPr>
        <w:t>DE-IDENTIFIED RETROSPECTIVE | APPLIED CASE STUDY 001</w:t>
      </w:r>
    </w:p>
    <w:p>
      <w:pPr>
        <w:keepNext w:val="0"/>
        <w:widowControl/>
        <w:spacing w:before="1840" w:after="200" w:line="240" w:lineRule="auto"/>
        <w:jc w:val="center"/>
      </w:pPr>
      <w:r>
        <w:rPr>
          <w:rFonts w:ascii="Calibri" w:hAnsi="Calibri"/>
          <w:b/>
          <w:i w:val="0"/>
          <w:color w:val="0B2545"/>
          <w:sz w:val="58"/>
        </w:rPr>
        <w:t>WHEN AI ADOPTION</w:t>
        <w:br/>
        <w:t>STILL DEPENDS ON</w:t>
        <w:br/>
        <w:t>HUMAN SCAFFOLDING</w:t>
      </w:r>
    </w:p>
    <w:p>
      <w:pPr>
        <w:keepNext w:val="0"/>
        <w:widowControl/>
        <w:spacing w:before="0" w:after="480" w:line="276" w:lineRule="auto"/>
        <w:jc w:val="center"/>
      </w:pPr>
      <w:r>
        <w:rPr>
          <w:rFonts w:ascii="Calibri" w:hAnsi="Calibri"/>
          <w:b w:val="0"/>
          <w:i w:val="0"/>
          <w:color w:val="1F4D78"/>
          <w:sz w:val="28"/>
        </w:rPr>
        <w:t>A worked retrospective assessment of customer onboarding,</w:t>
        <w:br/>
        <w:t>workflow adoption and value realisation inside a VC-backed B2B AI startup</w:t>
      </w:r>
    </w:p>
    <w:p>
      <w:pPr>
        <w:keepNext w:val="0"/>
        <w:widowControl/>
        <w:spacing w:before="360" w:after="160" w:line="264" w:lineRule="auto"/>
        <w:jc w:val="center"/>
      </w:pPr>
      <w:r>
        <w:rPr>
          <w:rFonts w:ascii="Calibri" w:hAnsi="Calibri"/>
          <w:b/>
          <w:i/>
          <w:color w:val="188A8A"/>
          <w:sz w:val="26"/>
        </w:rPr>
        <w:t>The product could automate tasks. The operating model could not yet carry them unaided.</w:t>
      </w:r>
    </w:p>
    <w:p>
      <w:pPr>
        <w:keepNext w:val="0"/>
        <w:widowControl/>
        <w:spacing w:before="1040" w:after="80" w:line="264" w:lineRule="auto"/>
        <w:jc w:val="center"/>
      </w:pPr>
      <w:r>
        <w:rPr>
          <w:rFonts w:ascii="Calibri" w:hAnsi="Calibri"/>
          <w:b/>
          <w:i w:val="0"/>
          <w:color w:val="0B2545"/>
          <w:sz w:val="22"/>
        </w:rPr>
        <w:t>Prepared by Christine Barnett</w:t>
      </w:r>
    </w:p>
    <w:p>
      <w:pPr>
        <w:keepNext w:val="0"/>
        <w:widowControl/>
        <w:spacing w:before="0" w:after="400" w:line="264" w:lineRule="auto"/>
        <w:jc w:val="center"/>
      </w:pPr>
      <w:r>
        <w:rPr>
          <w:rFonts w:ascii="Calibri" w:hAnsi="Calibri"/>
          <w:b w:val="0"/>
          <w:i w:val="0"/>
          <w:color w:val="667085"/>
          <w:sz w:val="20"/>
        </w:rPr>
        <w:t>Creator, The Autonomy Index™  |  September 2026</w:t>
      </w:r>
    </w:p>
    <w:tbl>
      <w:tblPr>
        <w:tblW w:type="dxa" w:w="9360"/>
        <w:jc w:val="left"/>
        <w:tblLayout w:type="fixed"/>
        <w:tblLook w:firstColumn="1" w:firstRow="1" w:lastColumn="0" w:lastRow="0" w:noHBand="0" w:noVBand="1" w:val="04A0"/>
        <w:tblInd w:w="0" w:type="dxa"/>
      </w:tblPr>
      <w:tblGrid>
        <w:gridCol w:w="2340"/>
        <w:gridCol w:w="2340"/>
        <w:gridCol w:w="2340"/>
        <w:gridCol w:w="2340"/>
      </w:tblGrid>
      <w:tr>
        <w:trPr>
          <w:cantSplit/>
        </w:trPr>
        <w:tc>
          <w:tcPr>
            <w:tcW w:type="dxa" w:w="2340"/>
            <w:shd w:fill="E8F1F8" w:val="clear"/>
            <w:tcMar>
              <w:top w:w="110" w:type="dxa"/>
              <w:start w:w="130" w:type="dxa"/>
              <w:bottom w:w="110" w:type="dxa"/>
              <w:end w:w="130" w:type="dxa"/>
            </w:tcMar>
            <w:vAlign w:val="center"/>
          </w:tcPr>
          <w:p>
            <w:pPr>
              <w:keepNext w:val="0"/>
              <w:spacing w:before="0" w:after="40" w:line="264" w:lineRule="auto"/>
              <w:jc w:val="center"/>
            </w:pPr>
            <w:r/>
            <w:r>
              <w:rPr>
                <w:rFonts w:ascii="Calibri" w:hAnsi="Calibri"/>
                <w:b/>
                <w:i w:val="0"/>
                <w:color w:val="2E74B5"/>
                <w:sz w:val="16"/>
              </w:rPr>
              <w:t>OBSERVED</w:t>
            </w:r>
          </w:p>
          <w:p>
            <w:pPr>
              <w:keepNext w:val="0"/>
              <w:spacing w:before="0" w:after="0" w:line="252" w:lineRule="auto"/>
              <w:jc w:val="center"/>
            </w:pPr>
            <w:r>
              <w:rPr>
                <w:rFonts w:ascii="Calibri" w:hAnsi="Calibri"/>
                <w:b w:val="0"/>
                <w:i w:val="0"/>
                <w:color w:val="0B2545"/>
                <w:sz w:val="16"/>
              </w:rPr>
              <w:t>Firsthand operating evidence</w:t>
            </w:r>
          </w:p>
        </w:tc>
        <w:tc>
          <w:tcPr>
            <w:tcW w:type="dxa" w:w="2340"/>
            <w:shd w:fill="E5F3F1" w:val="clear"/>
            <w:tcMar>
              <w:top w:w="110" w:type="dxa"/>
              <w:start w:w="130" w:type="dxa"/>
              <w:bottom w:w="110" w:type="dxa"/>
              <w:end w:w="130" w:type="dxa"/>
            </w:tcMar>
            <w:vAlign w:val="center"/>
          </w:tcPr>
          <w:p>
            <w:pPr>
              <w:keepNext w:val="0"/>
              <w:spacing w:before="0" w:after="40" w:line="264" w:lineRule="auto"/>
              <w:jc w:val="center"/>
            </w:pPr>
            <w:r/>
            <w:r>
              <w:rPr>
                <w:rFonts w:ascii="Calibri" w:hAnsi="Calibri"/>
                <w:b/>
                <w:i w:val="0"/>
                <w:color w:val="188A8A"/>
                <w:sz w:val="16"/>
              </w:rPr>
              <w:t>IMPLEMENTED</w:t>
            </w:r>
          </w:p>
          <w:p>
            <w:pPr>
              <w:keepNext w:val="0"/>
              <w:spacing w:before="0" w:after="0" w:line="252" w:lineRule="auto"/>
              <w:jc w:val="center"/>
            </w:pPr>
            <w:r>
              <w:rPr>
                <w:rFonts w:ascii="Calibri" w:hAnsi="Calibri"/>
                <w:b w:val="0"/>
                <w:i w:val="0"/>
                <w:color w:val="0B2545"/>
                <w:sz w:val="16"/>
              </w:rPr>
              <w:t>Controls and operating assets</w:t>
            </w:r>
          </w:p>
        </w:tc>
        <w:tc>
          <w:tcPr>
            <w:tcW w:type="dxa" w:w="2340"/>
            <w:shd w:fill="FFF6DE" w:val="clear"/>
            <w:tcMar>
              <w:top w:w="110" w:type="dxa"/>
              <w:start w:w="130" w:type="dxa"/>
              <w:bottom w:w="110" w:type="dxa"/>
              <w:end w:w="130" w:type="dxa"/>
            </w:tcMar>
            <w:vAlign w:val="center"/>
          </w:tcPr>
          <w:p>
            <w:pPr>
              <w:keepNext w:val="0"/>
              <w:spacing w:before="0" w:after="40" w:line="264" w:lineRule="auto"/>
              <w:jc w:val="center"/>
            </w:pPr>
            <w:r/>
            <w:r>
              <w:rPr>
                <w:rFonts w:ascii="Calibri" w:hAnsi="Calibri"/>
                <w:b/>
                <w:i w:val="0"/>
                <w:color w:val="A8751A"/>
                <w:sz w:val="16"/>
              </w:rPr>
              <w:t>INDICATIVE</w:t>
            </w:r>
          </w:p>
          <w:p>
            <w:pPr>
              <w:keepNext w:val="0"/>
              <w:spacing w:before="0" w:after="0" w:line="252" w:lineRule="auto"/>
              <w:jc w:val="center"/>
            </w:pPr>
            <w:r>
              <w:rPr>
                <w:rFonts w:ascii="Calibri" w:hAnsi="Calibri"/>
                <w:b w:val="0"/>
                <w:i w:val="0"/>
                <w:color w:val="0B2545"/>
                <w:sz w:val="16"/>
              </w:rPr>
              <w:t>Retrospective framework finding</w:t>
            </w:r>
          </w:p>
        </w:tc>
        <w:tc>
          <w:tcPr>
            <w:tcW w:type="dxa" w:w="2340"/>
            <w:shd w:fill="F2F4F7" w:val="clear"/>
            <w:tcMar>
              <w:top w:w="110" w:type="dxa"/>
              <w:start w:w="130" w:type="dxa"/>
              <w:bottom w:w="110" w:type="dxa"/>
              <w:end w:w="130" w:type="dxa"/>
            </w:tcMar>
            <w:vAlign w:val="center"/>
          </w:tcPr>
          <w:p>
            <w:pPr>
              <w:keepNext w:val="0"/>
              <w:spacing w:before="0" w:after="40" w:line="264" w:lineRule="auto"/>
              <w:jc w:val="center"/>
            </w:pPr>
            <w:r/>
            <w:r>
              <w:rPr>
                <w:rFonts w:ascii="Calibri" w:hAnsi="Calibri"/>
                <w:b/>
                <w:i w:val="0"/>
                <w:color w:val="667085"/>
                <w:sz w:val="16"/>
              </w:rPr>
              <w:t>NOT MEASURED</w:t>
            </w:r>
          </w:p>
          <w:p>
            <w:pPr>
              <w:keepNext w:val="0"/>
              <w:spacing w:before="0" w:after="0" w:line="252" w:lineRule="auto"/>
              <w:jc w:val="center"/>
            </w:pPr>
            <w:r>
              <w:rPr>
                <w:rFonts w:ascii="Calibri" w:hAnsi="Calibri"/>
                <w:b w:val="0"/>
                <w:i w:val="0"/>
                <w:color w:val="0B2545"/>
                <w:sz w:val="16"/>
              </w:rPr>
              <w:t>Financial and longitudinal impact</w:t>
            </w:r>
          </w:p>
        </w:tc>
      </w:tr>
    </w:tbl>
    <w:p>
      <w:pPr>
        <w:widowControl/>
      </w:pPr>
      <w:r>
        <w:br w:type="page"/>
      </w:r>
    </w:p>
    <w:p>
      <w:pPr>
        <w:keepNext w:val="0"/>
        <w:widowControl/>
        <w:spacing w:before="0" w:after="80" w:line="264" w:lineRule="auto"/>
        <w:jc w:val="left"/>
      </w:pPr>
      <w:r>
        <w:rPr>
          <w:rFonts w:ascii="Calibri" w:hAnsi="Calibri"/>
          <w:b/>
          <w:i w:val="0"/>
          <w:color w:val="188A8A"/>
          <w:sz w:val="18"/>
        </w:rPr>
        <w:t>EXECUTIVE DIAGNOSTIC</w:t>
      </w:r>
    </w:p>
    <w:p>
      <w:pPr>
        <w:pStyle w:val="Heading1"/>
        <w:keepNext/>
        <w:widowControl/>
      </w:pPr>
      <w:r>
        <w:t>1. Executive summary</w:t>
      </w:r>
    </w:p>
    <w:p>
      <w:pPr>
        <w:keepNext w:val="0"/>
        <w:widowControl/>
        <w:spacing w:before="0" w:after="120" w:line="264" w:lineRule="auto"/>
      </w:pPr>
      <w:r>
        <w:rPr>
          <w:rFonts w:ascii="Calibri" w:hAnsi="Calibri"/>
          <w:b w:val="0"/>
          <w:i w:val="0"/>
          <w:color w:val="222222"/>
          <w:sz w:val="22"/>
        </w:rPr>
        <w:t>This applied retrospective case study draws on firsthand operational experience, 33 account reviews, 30 detailed operational reviews or incident briefs, and contemporaneous customer, commercial and product evidence. It evaluates one defined operating loop inside a VC-backed B2B AI startup: the journey from commercial handover to customer adoption, value evidence and renewal readiness. The company sold genuine AI-enabled capability, and the core product could execute material parts of outbound campaign activity. The central problem was not the absence of AI. It was that the surrounding operating system had not matured at the same speed as the product promise.</w:t>
      </w:r>
    </w:p>
    <w:p>
      <w:pPr>
        <w:keepNext w:val="0"/>
        <w:widowControl/>
        <w:spacing w:before="0" w:after="120" w:line="264" w:lineRule="auto"/>
      </w:pPr>
      <w:r>
        <w:rPr>
          <w:rFonts w:ascii="Calibri" w:hAnsi="Calibri"/>
          <w:b w:val="0"/>
          <w:i w:val="0"/>
          <w:color w:val="222222"/>
          <w:sz w:val="22"/>
        </w:rPr>
        <w:t>Across the observed portfolio, customer requirements, readiness, configuration, quality assurance, exception handling, cross-functional escalation and value proof remained heavily dependent on human interpretation and coordination. The AI completed tasks; people carried the workflow. That distinction is precisely what the Autonomy Index is designed to expose.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10" w:type="dxa"/>
              <w:start w:w="130" w:type="dxa"/>
              <w:bottom w:w="110" w:type="dxa"/>
              <w:end w:w="130" w:type="dxa"/>
            </w:tcMar>
            <w:vAlign w:val="center"/>
            <w:shd w:fill="E5F3F1" w:val="clear"/>
          </w:tcPr>
          <w:p>
            <w:pPr>
              <w:keepNext w:val="0"/>
              <w:spacing w:before="0" w:after="40" w:line="264" w:lineRule="auto"/>
            </w:pPr>
            <w:r>
              <w:rPr>
                <w:rFonts w:ascii="Calibri" w:hAnsi="Calibri"/>
                <w:b/>
                <w:i w:val="0"/>
                <w:color w:val="188A8A"/>
                <w:sz w:val="18"/>
              </w:rPr>
              <w:t>INDICATIVE CONCLUSION</w:t>
            </w:r>
          </w:p>
          <w:p>
            <w:pPr>
              <w:keepNext w:val="0"/>
              <w:spacing w:before="0" w:after="0" w:line="269" w:lineRule="auto"/>
            </w:pPr>
            <w:r>
              <w:rPr>
                <w:rFonts w:ascii="Calibri" w:hAnsi="Calibri"/>
                <w:b/>
                <w:i w:val="0"/>
                <w:color w:val="0B2545"/>
                <w:sz w:val="22"/>
              </w:rPr>
              <w:t>The scoped workflow was most consistent with Level 2: Fragmented Pilots, with pockets of Level 3: Functional Adoption. The controls introduced during the engagement created the operating architecture required to move toward Level 3.</w:t>
            </w:r>
          </w:p>
        </w:tc>
      </w:tr>
    </w:tbl>
    <w:p>
      <w:pPr>
        <w:keepNext w:val="0"/>
        <w:widowControl/>
        <w:spacing w:before="0" w:after="40" w:line="264" w:lineRule="auto"/>
      </w:pPr>
    </w:p>
    <w:tbl>
      <w:tblPr>
        <w:tblStyle w:val="TableGrid"/>
        <w:tblW w:type="dxa" w:w="9360"/>
        <w:jc w:val="left"/>
        <w:tblLayout w:type="fixed"/>
        <w:tblLook w:firstColumn="1" w:firstRow="1" w:lastColumn="0" w:lastRow="0" w:noHBand="0" w:noVBand="1" w:val="04A0"/>
        <w:tblInd w:w="120" w:type="dxa"/>
      </w:tblPr>
      <w:tblGrid>
        <w:gridCol w:w="2500"/>
        <w:gridCol w:w="6860"/>
      </w:tblGrid>
      <w:tr>
        <w:trPr>
          <w:tblHeader w:val="true"/>
          <w:cantSplit/>
        </w:trPr>
        <w:tc>
          <w:tcPr>
            <w:tcW w:type="dxa" w:w="25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Field</w:t>
            </w:r>
          </w:p>
        </w:tc>
        <w:tc>
          <w:tcPr>
            <w:tcW w:type="dxa" w:w="686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Case-study position</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Assessment unit</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One workflow: commercial handover to renewal readiness</w:t>
            </w:r>
          </w:p>
        </w:tc>
      </w:tr>
      <w:tr>
        <w:trPr>
          <w:cantSplit/>
        </w:trPr>
        <w:tc>
          <w:tcPr>
            <w:tcW w:type="dxa" w:w="2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Operating period</w:t>
            </w:r>
          </w:p>
        </w:tc>
        <w:tc>
          <w:tcPr>
            <w:tcW w:type="dxa" w:w="68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February to May 2026</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Portfolio scope</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36 customer and pilot accounts; more than £350k in tracked contract and pilot value</w:t>
            </w:r>
          </w:p>
        </w:tc>
      </w:tr>
      <w:tr>
        <w:trPr>
          <w:cantSplit/>
        </w:trPr>
        <w:tc>
          <w:tcPr>
            <w:tcW w:type="dxa" w:w="2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Detailed evidence</w:t>
            </w:r>
          </w:p>
        </w:tc>
        <w:tc>
          <w:tcPr>
            <w:tcW w:type="dxa" w:w="68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33 accounts reviewed; 30 supported by full operational reviews or incident briefs</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Assessment status</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Retrospective practitioner assessment</w:t>
            </w:r>
          </w:p>
        </w:tc>
      </w:tr>
      <w:tr>
        <w:trPr>
          <w:cantSplit/>
        </w:trPr>
        <w:tc>
          <w:tcPr>
            <w:tcW w:type="dxa" w:w="2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Primary observed constraint</w:t>
            </w:r>
          </w:p>
        </w:tc>
        <w:tc>
          <w:tcPr>
            <w:tcW w:type="dxa" w:w="68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Workflow integration across the post-sale customer lifecycle</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Secondary constraints</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Risk and output assurance; champion dependency; incomplete value attribution</w:t>
            </w:r>
          </w:p>
        </w:tc>
      </w:tr>
      <w:tr>
        <w:trPr>
          <w:cantSplit/>
        </w:trPr>
        <w:tc>
          <w:tcPr>
            <w:tcW w:type="dxa" w:w="2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Commercial outcomes</w:t>
            </w:r>
          </w:p>
        </w:tc>
        <w:tc>
          <w:tcPr>
            <w:tcW w:type="dxa" w:w="68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Not measured because the observation window ended before a full renewal cycle</w:t>
            </w:r>
          </w:p>
        </w:tc>
      </w:tr>
    </w:tbl>
    <w:p>
      <w:pPr>
        <w:keepNext w:val="0"/>
        <w:widowControl/>
        <w:spacing w:before="0" w:after="40" w:line="264" w:lineRule="auto"/>
      </w:pPr>
    </w:p>
    <w:p>
      <w:pPr>
        <w:pStyle w:val="Heading2"/>
        <w:keepNext/>
        <w:widowControl/>
      </w:pPr>
      <w:r>
        <w:t>What this case study proves</w:t>
      </w:r>
    </w:p>
    <w:p>
      <w:pPr>
        <w:keepNext w:val="0"/>
        <w:widowControl/>
        <w:spacing w:before="0" w:after="0" w:line="264" w:lineRule="auto"/>
      </w:pPr>
      <w:r>
        <w:rPr>
          <w:rFonts w:ascii="Calibri" w:hAnsi="Calibri"/>
          <w:b w:val="0"/>
          <w:i w:val="0"/>
          <w:color w:val="222222"/>
          <w:sz w:val="22"/>
        </w:rPr>
        <w:t>The framework scopes a workflow, triangulates evidence, distinguishes visible automation from operational reality, locates the primary constraint and converts diagnosis into a roadmap.</w:t>
      </w:r>
    </w:p>
    <w:p>
      <w:pPr>
        <w:pStyle w:val="Heading1"/>
        <w:keepNext/>
        <w:widowControl/>
      </w:pPr>
      <w:r>
        <w:t>2. State of events</w:t>
      </w:r>
    </w:p>
    <w:p>
      <w:pPr>
        <w:keepNext w:val="0"/>
        <w:widowControl/>
        <w:spacing w:before="0" w:after="120" w:line="264" w:lineRule="auto"/>
      </w:pPr>
      <w:r>
        <w:rPr>
          <w:rFonts w:ascii="Calibri" w:hAnsi="Calibri"/>
          <w:b w:val="0"/>
          <w:i w:val="0"/>
          <w:color w:val="222222"/>
          <w:sz w:val="22"/>
        </w:rPr>
        <w:t>The sequence matters. Reading the case as a conventional before-and-after success story would distort the evidence. The work happened inside a live, fast-moving startup while the product, customer promises and operating processes were all still evolving.</w:t>
      </w:r>
    </w:p>
    <w:tbl>
      <w:tblPr>
        <w:tblStyle w:val="TableGrid"/>
        <w:tblW w:type="dxa" w:w="9360"/>
        <w:jc w:val="left"/>
        <w:tblLayout w:type="fixed"/>
        <w:tblLook w:firstColumn="1" w:firstRow="1" w:lastColumn="0" w:lastRow="0" w:noHBand="0" w:noVBand="1" w:val="04A0"/>
        <w:tblInd w:w="120" w:type="dxa"/>
      </w:tblPr>
      <w:tblGrid>
        <w:gridCol w:w="2100"/>
        <w:gridCol w:w="7260"/>
      </w:tblGrid>
      <w:tr>
        <w:trPr>
          <w:tblHeader w:val="true"/>
          <w:cantSplit/>
        </w:trPr>
        <w:tc>
          <w:tcPr>
            <w:tcW w:type="dxa" w:w="21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Phase</w:t>
            </w:r>
          </w:p>
        </w:tc>
        <w:tc>
          <w:tcPr>
            <w:tcW w:type="dxa" w:w="726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What happened</w:t>
            </w:r>
          </w:p>
        </w:tc>
      </w:tr>
      <w:tr>
        <w:trPr>
          <w:cantSplit/>
        </w:trPr>
        <w:tc>
          <w:tcPr>
            <w:tcW w:type="dxa" w:w="21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1  Product promise</w:t>
            </w:r>
          </w:p>
        </w:tc>
        <w:tc>
          <w:tcPr>
            <w:tcW w:type="dxa" w:w="72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An AI-enabled outbound platform was sold as capable of high levels of automated execution. In several accounts, expectations resembled 'set and forget' or an autonomous seller from the first day.</w:t>
            </w:r>
          </w:p>
        </w:tc>
      </w:tr>
      <w:tr>
        <w:trPr>
          <w:cantSplit/>
        </w:trPr>
        <w:tc>
          <w:tcPr>
            <w:tcW w:type="dxa" w:w="2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2  Operating reality</w:t>
            </w:r>
          </w:p>
        </w:tc>
        <w:tc>
          <w:tcPr>
            <w:tcW w:type="dxa" w:w="72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Customers still needed operator-led ICP definition, context construction, campaign design, message proof, configuration support, exception handling and value interpretation.</w:t>
            </w:r>
          </w:p>
        </w:tc>
      </w:tr>
      <w:tr>
        <w:trPr>
          <w:cantSplit/>
        </w:trPr>
        <w:tc>
          <w:tcPr>
            <w:tcW w:type="dxa" w:w="21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3  Portfolio inheritance</w:t>
            </w:r>
          </w:p>
        </w:tc>
        <w:tc>
          <w:tcPr>
            <w:tcW w:type="dxa" w:w="72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The incoming post-sale owner inherited a mixed book containing active customers, pilots, dormant accounts, distressed implementations, pre-existing notice risk and product defects.</w:t>
            </w:r>
          </w:p>
        </w:tc>
      </w:tr>
      <w:tr>
        <w:trPr>
          <w:cantSplit/>
        </w:trPr>
        <w:tc>
          <w:tcPr>
            <w:tcW w:type="dxa" w:w="2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4  System building</w:t>
            </w:r>
          </w:p>
        </w:tc>
        <w:tc>
          <w:tcPr>
            <w:tcW w:type="dxa" w:w="72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A Customer Success operating layer was built while accounts remained live: lifecycle stages, activation targets, health reporting, onboarding assets, ticket discipline, success plans, QBRs and renewal pathways.</w:t>
            </w:r>
          </w:p>
        </w:tc>
      </w:tr>
      <w:tr>
        <w:trPr>
          <w:cantSplit/>
        </w:trPr>
        <w:tc>
          <w:tcPr>
            <w:tcW w:type="dxa" w:w="21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5  Measurement interrupted</w:t>
            </w:r>
          </w:p>
        </w:tc>
        <w:tc>
          <w:tcPr>
            <w:tcW w:type="dxa" w:w="72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A formal post-implementation reassessment and complete financial-impact cycle were not completed.</w:t>
            </w:r>
          </w:p>
        </w:tc>
      </w:tr>
    </w:tbl>
    <w:p>
      <w:pPr>
        <w:keepNext w:val="0"/>
        <w:widowControl/>
        <w:spacing w:before="0" w:after="40" w:line="264" w:lineRule="auto"/>
      </w:pPr>
    </w:p>
    <w:p>
      <w:pPr>
        <w:pStyle w:val="Heading2"/>
        <w:keepNext/>
        <w:widowControl/>
      </w:pPr>
      <w:r>
        <w:t>The baseline problem</w:t>
      </w:r>
    </w:p>
    <w:p>
      <w:pPr>
        <w:keepNext w:val="0"/>
        <w:widowControl/>
        <w:spacing w:before="0" w:after="120" w:line="264" w:lineRule="auto"/>
      </w:pPr>
      <w:r>
        <w:rPr>
          <w:rFonts w:ascii="Calibri" w:hAnsi="Calibri"/>
          <w:b w:val="0"/>
          <w:i w:val="0"/>
          <w:color w:val="222222"/>
          <w:sz w:val="22"/>
        </w:rPr>
        <w:t>The commercial story had travelled further than the adoption system. The platform could produce and execute activity, but the conditions required for dependable customer value were unevenly designed. Handover information was inconsistent. Some accounts lacked formal success criteria, customer-readiness gates or an empowered operating owner. Product and integration issues were sometimes recurrent, while ticket closure was not always tied to customer-side validation. Commercial risk often became visible only after manual investigation.</w:t>
      </w:r>
    </w:p>
    <w:p>
      <w:pPr>
        <w:keepNext w:val="0"/>
        <w:widowControl/>
        <w:spacing w:before="0" w:after="120" w:line="264" w:lineRule="auto"/>
      </w:pPr>
      <w:r>
        <w:rPr>
          <w:rFonts w:ascii="Calibri" w:hAnsi="Calibri"/>
          <w:b w:val="0"/>
          <w:i w:val="0"/>
          <w:color w:val="222222"/>
          <w:sz w:val="22"/>
        </w:rPr>
        <w:t>This created a structurally important form of human dependence. Customer Success was not merely supporting adoption; it was frequently acting as the connective tissue between the sales promise, customer context, product behaviour, engineering response and commercial evidence.</w:t>
      </w:r>
    </w:p>
    <w:p>
      <w:pPr>
        <w:pStyle w:val="ListBullet"/>
        <w:keepNext w:val="0"/>
        <w:widowControl/>
        <w:spacing w:before="0" w:after="100" w:line="264" w:lineRule="auto"/>
      </w:pPr>
      <w:r>
        <w:rPr>
          <w:rFonts w:ascii="Calibri" w:hAnsi="Calibri"/>
          <w:b/>
          <w:i w:val="0"/>
          <w:color w:val="222222"/>
          <w:sz w:val="22"/>
        </w:rPr>
        <w:t xml:space="preserve">Handover: </w:t>
      </w:r>
      <w:r>
        <w:rPr>
          <w:rFonts w:ascii="Calibri" w:hAnsi="Calibri"/>
          <w:b w:val="0"/>
          <w:i w:val="0"/>
          <w:color w:val="222222"/>
          <w:sz w:val="22"/>
        </w:rPr>
        <w:t>Commercial context, stakeholder ownership and customer readiness were not consistently transferred into an operational record.</w:t>
      </w:r>
    </w:p>
    <w:p>
      <w:pPr>
        <w:pStyle w:val="ListBullet"/>
        <w:keepNext w:val="0"/>
        <w:widowControl/>
        <w:spacing w:before="0" w:after="100" w:line="264" w:lineRule="auto"/>
      </w:pPr>
      <w:r>
        <w:rPr>
          <w:rFonts w:ascii="Calibri" w:hAnsi="Calibri"/>
          <w:b/>
          <w:i w:val="0"/>
          <w:color w:val="222222"/>
          <w:sz w:val="22"/>
        </w:rPr>
        <w:t xml:space="preserve">Onboarding: </w:t>
      </w:r>
      <w:r>
        <w:rPr>
          <w:rFonts w:ascii="Calibri" w:hAnsi="Calibri"/>
          <w:b w:val="0"/>
          <w:i w:val="0"/>
          <w:color w:val="222222"/>
          <w:sz w:val="22"/>
        </w:rPr>
        <w:t>A standardised, productised onboarding system did not exist across the inherited book; the author later produced a 25-page handbook and eight supporting assets.</w:t>
      </w:r>
    </w:p>
    <w:p>
      <w:pPr>
        <w:pStyle w:val="ListBullet"/>
        <w:keepNext w:val="0"/>
        <w:widowControl/>
        <w:spacing w:before="0" w:after="100" w:line="264" w:lineRule="auto"/>
      </w:pPr>
      <w:r>
        <w:rPr>
          <w:rFonts w:ascii="Calibri" w:hAnsi="Calibri"/>
          <w:b/>
          <w:i w:val="0"/>
          <w:color w:val="222222"/>
          <w:sz w:val="22"/>
        </w:rPr>
        <w:t xml:space="preserve">Adoption: </w:t>
      </w:r>
      <w:r>
        <w:rPr>
          <w:rFonts w:ascii="Calibri" w:hAnsi="Calibri"/>
          <w:b w:val="0"/>
          <w:i w:val="0"/>
          <w:color w:val="222222"/>
          <w:sz w:val="22"/>
        </w:rPr>
        <w:t>Usage was often concentrated in one champion or a newly appointed operator, with customer independence varying materially by account.</w:t>
      </w:r>
    </w:p>
    <w:p>
      <w:pPr>
        <w:pStyle w:val="ListBullet"/>
        <w:keepNext w:val="0"/>
        <w:widowControl/>
        <w:spacing w:before="0" w:after="100" w:line="264" w:lineRule="auto"/>
      </w:pPr>
      <w:r>
        <w:rPr>
          <w:rFonts w:ascii="Calibri" w:hAnsi="Calibri"/>
          <w:b/>
          <w:i w:val="0"/>
          <w:color w:val="222222"/>
          <w:sz w:val="22"/>
        </w:rPr>
        <w:t xml:space="preserve">Quality and trust: </w:t>
      </w:r>
      <w:r>
        <w:rPr>
          <w:rFonts w:ascii="Calibri" w:hAnsi="Calibri"/>
          <w:b w:val="0"/>
          <w:i w:val="0"/>
          <w:color w:val="222222"/>
          <w:sz w:val="22"/>
        </w:rPr>
        <w:t>Campaign configuration, message proof and first-run quality frequently required human review. A systematic override or first-pass-quality rate was not available.</w:t>
      </w:r>
    </w:p>
    <w:p>
      <w:pPr>
        <w:pStyle w:val="ListBullet"/>
        <w:keepNext w:val="0"/>
        <w:widowControl/>
        <w:spacing w:before="0" w:after="100" w:line="264" w:lineRule="auto"/>
      </w:pPr>
      <w:r>
        <w:rPr>
          <w:rFonts w:ascii="Calibri" w:hAnsi="Calibri"/>
          <w:b/>
          <w:i w:val="0"/>
          <w:color w:val="222222"/>
          <w:sz w:val="22"/>
        </w:rPr>
        <w:t xml:space="preserve">Exceptions: </w:t>
      </w:r>
      <w:r>
        <w:rPr>
          <w:rFonts w:ascii="Calibri" w:hAnsi="Calibri"/>
          <w:b w:val="0"/>
          <w:i w:val="0"/>
          <w:color w:val="222222"/>
          <w:sz w:val="22"/>
        </w:rPr>
        <w:t>Recurring issues included authentication, data ingestion, deliverability, reporting visibility and user-state problems. Detection and recovery commonly depended on customers, the AM or Engineering.</w:t>
      </w:r>
    </w:p>
    <w:p>
      <w:pPr>
        <w:pStyle w:val="ListBullet"/>
        <w:keepNext w:val="0"/>
        <w:widowControl/>
        <w:spacing w:before="0" w:after="100" w:line="264" w:lineRule="auto"/>
      </w:pPr>
      <w:r>
        <w:rPr>
          <w:rFonts w:ascii="Calibri" w:hAnsi="Calibri"/>
          <w:b/>
          <w:i w:val="0"/>
          <w:color w:val="222222"/>
          <w:sz w:val="22"/>
        </w:rPr>
        <w:t xml:space="preserve">Value evidence: </w:t>
      </w:r>
      <w:r>
        <w:rPr>
          <w:rFonts w:ascii="Calibri" w:hAnsi="Calibri"/>
          <w:b w:val="0"/>
          <w:i w:val="0"/>
          <w:color w:val="222222"/>
          <w:sz w:val="22"/>
        </w:rPr>
        <w:t>Activity was not consistently connected to a customer-approved outcome, so Customer Success had to assemble the narrative and evidence manually.</w:t>
      </w:r>
    </w:p>
    <w:p>
      <w:pPr>
        <w:pStyle w:val="ListBullet"/>
        <w:keepNext w:val="0"/>
        <w:widowControl/>
        <w:spacing w:before="0" w:after="100" w:line="264" w:lineRule="auto"/>
      </w:pPr>
      <w:r>
        <w:rPr>
          <w:rFonts w:ascii="Calibri" w:hAnsi="Calibri"/>
          <w:b/>
          <w:i w:val="0"/>
          <w:color w:val="222222"/>
          <w:sz w:val="22"/>
        </w:rPr>
        <w:t xml:space="preserve">Risk visibility: </w:t>
      </w:r>
      <w:r>
        <w:rPr>
          <w:rFonts w:ascii="Calibri" w:hAnsi="Calibri"/>
          <w:b w:val="0"/>
          <w:i w:val="0"/>
          <w:color w:val="222222"/>
          <w:sz w:val="22"/>
        </w:rPr>
        <w:t>Material renewal, entitlement and budget risks were surfaced through manual portfolio analysis rather than an automated account-health system.</w:t>
      </w:r>
    </w:p>
    <w:p>
      <w:pPr>
        <w:pStyle w:val="Heading1"/>
        <w:keepNext/>
        <w:widowControl/>
      </w:pPr>
      <w:r>
        <w:t>3. What the Autonomy Index™ evaluates</w:t>
      </w:r>
    </w:p>
    <w:p>
      <w:pPr>
        <w:keepNext w:val="0"/>
        <w:widowControl/>
        <w:spacing w:before="0" w:after="120" w:line="264" w:lineRule="auto"/>
      </w:pPr>
      <w:r>
        <w:rPr>
          <w:rFonts w:ascii="Calibri" w:hAnsi="Calibri"/>
          <w:b w:val="0"/>
          <w:i w:val="0"/>
          <w:color w:val="222222"/>
          <w:sz w:val="22"/>
        </w:rPr>
        <w:t>The Autonomy Index does not ask how many AI features exist or how much activity the platform produces. It asks whether AI has become a dependable, trusted and governed operating layer. Its formal architecture contains four weighted pillars and eight dimensions.</w:t>
      </w:r>
    </w:p>
    <w:tbl>
      <w:tblPr>
        <w:tblStyle w:val="TableGrid"/>
        <w:tblW w:type="dxa" w:w="9360"/>
        <w:jc w:val="left"/>
        <w:tblLayout w:type="fixed"/>
        <w:tblLook w:firstColumn="1" w:firstRow="1" w:lastColumn="0" w:lastRow="0" w:noHBand="0" w:noVBand="1" w:val="04A0"/>
        <w:tblInd w:w="120" w:type="dxa"/>
      </w:tblPr>
      <w:tblGrid>
        <w:gridCol w:w="2050"/>
        <w:gridCol w:w="800"/>
        <w:gridCol w:w="2600"/>
        <w:gridCol w:w="3910"/>
      </w:tblGrid>
      <w:tr>
        <w:trPr>
          <w:tblHeader w:val="true"/>
          <w:cantSplit/>
        </w:trPr>
        <w:tc>
          <w:tcPr>
            <w:tcW w:type="dxa" w:w="205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Pillar</w:t>
            </w:r>
          </w:p>
        </w:tc>
        <w:tc>
          <w:tcPr>
            <w:tcW w:type="dxa" w:w="8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Weight</w:t>
            </w:r>
          </w:p>
        </w:tc>
        <w:tc>
          <w:tcPr>
            <w:tcW w:type="dxa" w:w="26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Dimensions</w:t>
            </w:r>
          </w:p>
        </w:tc>
        <w:tc>
          <w:tcPr>
            <w:tcW w:type="dxa" w:w="391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Question</w:t>
            </w:r>
          </w:p>
        </w:tc>
      </w:tr>
      <w:tr>
        <w:trPr>
          <w:cantSplit/>
        </w:trPr>
        <w:tc>
          <w:tcPr>
            <w:tcW w:type="dxa" w:w="20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Leadership &amp; Strategy</w:t>
            </w:r>
          </w:p>
        </w:tc>
        <w:tc>
          <w:tcPr>
            <w:tcW w:type="dxa" w:w="8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20%</w:t>
            </w:r>
          </w:p>
        </w:tc>
        <w:tc>
          <w:tcPr>
            <w:tcW w:type="dxa" w:w="26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Leadership Alignment; Strategic Integration</w:t>
            </w:r>
          </w:p>
        </w:tc>
        <w:tc>
          <w:tcPr>
            <w:tcW w:type="dxa" w:w="39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Does the organisational narrative match operational reality, and is AI connected to objectives, budget and decision-making?</w:t>
            </w:r>
          </w:p>
        </w:tc>
      </w:tr>
      <w:tr>
        <w:trPr>
          <w:cantSplit/>
        </w:trPr>
        <w:tc>
          <w:tcPr>
            <w:tcW w:type="dxa" w:w="20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Workflow &amp; Operations</w:t>
            </w:r>
          </w:p>
        </w:tc>
        <w:tc>
          <w:tcPr>
            <w:tcW w:type="dxa" w:w="8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30%</w:t>
            </w:r>
          </w:p>
        </w:tc>
        <w:tc>
          <w:tcPr>
            <w:tcW w:type="dxa" w:w="26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Workflow Integration; Operational Dependency</w:t>
            </w:r>
          </w:p>
        </w:tc>
        <w:tc>
          <w:tcPr>
            <w:tcW w:type="dxa" w:w="39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Is AI embedded inside the real process, and do meaningful outcomes depend on it?</w:t>
            </w:r>
          </w:p>
        </w:tc>
      </w:tr>
      <w:tr>
        <w:trPr>
          <w:cantSplit/>
        </w:trPr>
        <w:tc>
          <w:tcPr>
            <w:tcW w:type="dxa" w:w="20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Behaviour &amp; Trust</w:t>
            </w:r>
          </w:p>
        </w:tc>
        <w:tc>
          <w:tcPr>
            <w:tcW w:type="dxa" w:w="8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30%</w:t>
            </w:r>
          </w:p>
        </w:tc>
        <w:tc>
          <w:tcPr>
            <w:tcW w:type="dxa" w:w="26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Behavioural Adoption; Operational Trust &amp; Override</w:t>
            </w:r>
          </w:p>
        </w:tc>
        <w:tc>
          <w:tcPr>
            <w:tcW w:type="dxa" w:w="39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Do people use AI consistently, and are outputs trusted within defined boundaries rather than rewritten or rechecked indiscriminately?</w:t>
            </w:r>
          </w:p>
        </w:tc>
      </w:tr>
      <w:tr>
        <w:trPr>
          <w:cantSplit/>
        </w:trPr>
        <w:tc>
          <w:tcPr>
            <w:tcW w:type="dxa" w:w="20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Governance &amp; Risk</w:t>
            </w:r>
          </w:p>
        </w:tc>
        <w:tc>
          <w:tcPr>
            <w:tcW w:type="dxa" w:w="8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20%</w:t>
            </w:r>
          </w:p>
        </w:tc>
        <w:tc>
          <w:tcPr>
            <w:tcW w:type="dxa" w:w="26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Governance Maturity; Risk &amp; Output Assurance</w:t>
            </w:r>
          </w:p>
        </w:tc>
        <w:tc>
          <w:tcPr>
            <w:tcW w:type="dxa" w:w="39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Are ownership, auditability, failure paths and output controls explicit and effective?</w:t>
            </w:r>
          </w:p>
        </w:tc>
      </w:tr>
    </w:tbl>
    <w:p>
      <w:pPr>
        <w:keepNext w:val="0"/>
        <w:widowControl/>
        <w:spacing w:before="0" w:after="40" w:line="264" w:lineRule="auto"/>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10" w:type="dxa"/>
              <w:start w:w="130" w:type="dxa"/>
              <w:bottom w:w="110" w:type="dxa"/>
              <w:end w:w="130" w:type="dxa"/>
            </w:tcMar>
            <w:vAlign w:val="center"/>
            <w:shd w:fill="E8F1F8" w:val="clear"/>
          </w:tcPr>
          <w:p>
            <w:pPr>
              <w:keepNext w:val="0"/>
              <w:spacing w:before="0" w:after="40" w:line="264" w:lineRule="auto"/>
            </w:pPr>
            <w:r>
              <w:rPr>
                <w:rFonts w:ascii="Calibri" w:hAnsi="Calibri"/>
                <w:b/>
                <w:i w:val="0"/>
                <w:color w:val="2E74B5"/>
                <w:sz w:val="18"/>
              </w:rPr>
              <w:t>INTERPRETATION RULE</w:t>
            </w:r>
          </w:p>
          <w:p>
            <w:pPr>
              <w:keepNext w:val="0"/>
              <w:spacing w:before="0" w:after="0" w:line="269" w:lineRule="auto"/>
            </w:pPr>
            <w:r>
              <w:rPr>
                <w:rFonts w:ascii="Calibri" w:hAnsi="Calibri"/>
                <w:b/>
                <w:i w:val="0"/>
                <w:color w:val="0B2545"/>
                <w:sz w:val="22"/>
              </w:rPr>
              <w:t>Autonomy does not mean removing humans or allowing AI to operate unsupervised. It means earning the right to delegate: AI must be embedded enough to rely on and governed enough to rely on safely.</w:t>
            </w:r>
          </w:p>
        </w:tc>
      </w:tr>
    </w:tbl>
    <w:p>
      <w:pPr>
        <w:keepNext w:val="0"/>
        <w:widowControl/>
        <w:spacing w:before="0" w:after="40" w:line="264" w:lineRule="auto"/>
      </w:pPr>
    </w:p>
    <w:p>
      <w:pPr>
        <w:pStyle w:val="Heading2"/>
        <w:keepNext/>
        <w:widowControl/>
      </w:pPr>
      <w:r>
        <w:t>How a full assessment would work</w:t>
      </w:r>
    </w:p>
    <w:p>
      <w:pPr>
        <w:keepNext w:val="0"/>
        <w:widowControl/>
        <w:spacing w:before="0" w:after="120" w:line="264" w:lineRule="auto"/>
      </w:pPr>
      <w:r>
        <w:rPr>
          <w:rFonts w:ascii="Calibri" w:hAnsi="Calibri"/>
          <w:b w:val="0"/>
          <w:i w:val="0"/>
          <w:color w:val="222222"/>
          <w:sz w:val="22"/>
        </w:rPr>
        <w:t>A complete diagnostic triangulates leadership input, front-line behavioural evidence and operational evidence. It produces an indicative 0-100 score, a five-level maturity band, an eight-dimension profile, the primary constraint and the Theatre Gap. This retrospective contains unusually rich operational evidence but lacks formal independent leadership and front-line inputs; it therefore reports a maturity band, dimension-level findings and confidence levels, not a headline score or numerical Theatre Gap.</w:t>
      </w:r>
    </w:p>
    <w:p>
      <w:pPr>
        <w:pStyle w:val="Heading1"/>
        <w:keepNext/>
        <w:widowControl/>
      </w:pPr>
      <w:r>
        <w:t>4. The workflow under assessment</w:t>
      </w:r>
    </w:p>
    <w:p>
      <w:pPr>
        <w:keepNext w:val="0"/>
        <w:widowControl/>
        <w:spacing w:before="0" w:after="120" w:line="264" w:lineRule="auto"/>
      </w:pPr>
      <w:r>
        <w:rPr>
          <w:rFonts w:ascii="Calibri" w:hAnsi="Calibri"/>
          <w:b w:val="0"/>
          <w:i w:val="0"/>
          <w:color w:val="222222"/>
          <w:sz w:val="22"/>
        </w:rPr>
        <w:t>The workflow begins when a customer or pilot is commercially handed over and ends when sufficient evidence exists to support a renewal or pilot-conversion decision. The product’s core AI generation is only one part of that loop.</w:t>
      </w:r>
    </w:p>
    <w:tbl>
      <w:tblPr>
        <w:tblW w:type="dxa" w:w="9360"/>
        <w:jc w:val="left"/>
        <w:tblLayout w:type="fixed"/>
        <w:tblLook w:firstColumn="1" w:firstRow="1" w:lastColumn="0" w:lastRow="0" w:noHBand="0" w:noVBand="1" w:val="04A0"/>
        <w:tblInd w:w="0" w:type="dxa"/>
      </w:tblPr>
      <w:tblGrid>
        <w:gridCol w:w="1560"/>
        <w:gridCol w:w="1560"/>
        <w:gridCol w:w="1560"/>
        <w:gridCol w:w="1560"/>
        <w:gridCol w:w="1560"/>
        <w:gridCol w:w="1560"/>
      </w:tblGrid>
      <w:tr>
        <w:trPr>
          <w:cantSplit/>
        </w:trPr>
        <w:tc>
          <w:tcPr>
            <w:tcW w:type="dxa" w:w="1560"/>
            <w:shd w:fill="E8F1F8" w:val="clear"/>
            <w:tcMar>
              <w:top w:w="110" w:type="dxa"/>
              <w:start w:w="130" w:type="dxa"/>
              <w:bottom w:w="110" w:type="dxa"/>
              <w:end w:w="130" w:type="dxa"/>
            </w:tcMar>
            <w:vAlign w:val="center"/>
          </w:tcPr>
          <w:p>
            <w:pPr>
              <w:keepNext w:val="0"/>
              <w:spacing w:before="0" w:after="20" w:line="264" w:lineRule="auto"/>
              <w:jc w:val="center"/>
            </w:pPr>
            <w:r/>
            <w:r>
              <w:rPr>
                <w:rFonts w:ascii="Calibri" w:hAnsi="Calibri"/>
                <w:b/>
                <w:i w:val="0"/>
                <w:color w:val="188A8A"/>
                <w:sz w:val="16"/>
              </w:rPr>
              <w:t>1</w:t>
            </w:r>
          </w:p>
          <w:p>
            <w:pPr>
              <w:keepNext w:val="0"/>
              <w:spacing w:before="0" w:after="0" w:line="240" w:lineRule="auto"/>
              <w:jc w:val="center"/>
            </w:pPr>
            <w:r>
              <w:rPr>
                <w:rFonts w:ascii="Calibri" w:hAnsi="Calibri"/>
                <w:b/>
                <w:i w:val="0"/>
                <w:color w:val="0B2545"/>
                <w:sz w:val="17"/>
              </w:rPr>
              <w:t>Handover</w:t>
            </w:r>
          </w:p>
        </w:tc>
        <w:tc>
          <w:tcPr>
            <w:tcW w:type="dxa" w:w="1560"/>
            <w:shd w:fill="E8F1F8" w:val="clear"/>
            <w:tcMar>
              <w:top w:w="110" w:type="dxa"/>
              <w:start w:w="130" w:type="dxa"/>
              <w:bottom w:w="110" w:type="dxa"/>
              <w:end w:w="130" w:type="dxa"/>
            </w:tcMar>
            <w:vAlign w:val="center"/>
          </w:tcPr>
          <w:p>
            <w:pPr>
              <w:keepNext w:val="0"/>
              <w:spacing w:before="0" w:after="20" w:line="264" w:lineRule="auto"/>
              <w:jc w:val="center"/>
            </w:pPr>
            <w:r/>
            <w:r>
              <w:rPr>
                <w:rFonts w:ascii="Calibri" w:hAnsi="Calibri"/>
                <w:b/>
                <w:i w:val="0"/>
                <w:color w:val="188A8A"/>
                <w:sz w:val="16"/>
              </w:rPr>
              <w:t>2</w:t>
            </w:r>
          </w:p>
          <w:p>
            <w:pPr>
              <w:keepNext w:val="0"/>
              <w:spacing w:before="0" w:after="0" w:line="240" w:lineRule="auto"/>
              <w:jc w:val="center"/>
            </w:pPr>
            <w:r>
              <w:rPr>
                <w:rFonts w:ascii="Calibri" w:hAnsi="Calibri"/>
                <w:b/>
                <w:i w:val="0"/>
                <w:color w:val="0B2545"/>
                <w:sz w:val="17"/>
              </w:rPr>
              <w:t>Readiness</w:t>
            </w:r>
          </w:p>
        </w:tc>
        <w:tc>
          <w:tcPr>
            <w:tcW w:type="dxa" w:w="1560"/>
            <w:shd w:fill="E8F1F8" w:val="clear"/>
            <w:tcMar>
              <w:top w:w="110" w:type="dxa"/>
              <w:start w:w="130" w:type="dxa"/>
              <w:bottom w:w="110" w:type="dxa"/>
              <w:end w:w="130" w:type="dxa"/>
            </w:tcMar>
            <w:vAlign w:val="center"/>
          </w:tcPr>
          <w:p>
            <w:pPr>
              <w:keepNext w:val="0"/>
              <w:spacing w:before="0" w:after="20" w:line="264" w:lineRule="auto"/>
              <w:jc w:val="center"/>
            </w:pPr>
            <w:r/>
            <w:r>
              <w:rPr>
                <w:rFonts w:ascii="Calibri" w:hAnsi="Calibri"/>
                <w:b/>
                <w:i w:val="0"/>
                <w:color w:val="188A8A"/>
                <w:sz w:val="16"/>
              </w:rPr>
              <w:t>3</w:t>
            </w:r>
          </w:p>
          <w:p>
            <w:pPr>
              <w:keepNext w:val="0"/>
              <w:spacing w:before="0" w:after="0" w:line="240" w:lineRule="auto"/>
              <w:jc w:val="center"/>
            </w:pPr>
            <w:r>
              <w:rPr>
                <w:rFonts w:ascii="Calibri" w:hAnsi="Calibri"/>
                <w:b/>
                <w:i w:val="0"/>
                <w:color w:val="0B2545"/>
                <w:sz w:val="17"/>
              </w:rPr>
              <w:t>Configure</w:t>
            </w:r>
          </w:p>
        </w:tc>
        <w:tc>
          <w:tcPr>
            <w:tcW w:type="dxa" w:w="1560"/>
            <w:shd w:fill="E5F3F1" w:val="clear"/>
            <w:tcMar>
              <w:top w:w="110" w:type="dxa"/>
              <w:start w:w="130" w:type="dxa"/>
              <w:bottom w:w="110" w:type="dxa"/>
              <w:end w:w="130" w:type="dxa"/>
            </w:tcMar>
            <w:vAlign w:val="center"/>
          </w:tcPr>
          <w:p>
            <w:pPr>
              <w:keepNext w:val="0"/>
              <w:spacing w:before="0" w:after="20" w:line="264" w:lineRule="auto"/>
              <w:jc w:val="center"/>
            </w:pPr>
            <w:r/>
            <w:r>
              <w:rPr>
                <w:rFonts w:ascii="Calibri" w:hAnsi="Calibri"/>
                <w:b/>
                <w:i w:val="0"/>
                <w:color w:val="188A8A"/>
                <w:sz w:val="16"/>
              </w:rPr>
              <w:t>4</w:t>
            </w:r>
          </w:p>
          <w:p>
            <w:pPr>
              <w:keepNext w:val="0"/>
              <w:spacing w:before="0" w:after="0" w:line="240" w:lineRule="auto"/>
              <w:jc w:val="center"/>
            </w:pPr>
            <w:r>
              <w:rPr>
                <w:rFonts w:ascii="Calibri" w:hAnsi="Calibri"/>
                <w:b/>
                <w:i w:val="0"/>
                <w:color w:val="0B2545"/>
                <w:sz w:val="17"/>
              </w:rPr>
              <w:t>Execute</w:t>
            </w:r>
          </w:p>
        </w:tc>
        <w:tc>
          <w:tcPr>
            <w:tcW w:type="dxa" w:w="1560"/>
            <w:shd w:fill="E5F3F1" w:val="clear"/>
            <w:tcMar>
              <w:top w:w="110" w:type="dxa"/>
              <w:start w:w="130" w:type="dxa"/>
              <w:bottom w:w="110" w:type="dxa"/>
              <w:end w:w="130" w:type="dxa"/>
            </w:tcMar>
            <w:vAlign w:val="center"/>
          </w:tcPr>
          <w:p>
            <w:pPr>
              <w:keepNext w:val="0"/>
              <w:spacing w:before="0" w:after="20" w:line="264" w:lineRule="auto"/>
              <w:jc w:val="center"/>
            </w:pPr>
            <w:r/>
            <w:r>
              <w:rPr>
                <w:rFonts w:ascii="Calibri" w:hAnsi="Calibri"/>
                <w:b/>
                <w:i w:val="0"/>
                <w:color w:val="188A8A"/>
                <w:sz w:val="16"/>
              </w:rPr>
              <w:t>5</w:t>
            </w:r>
          </w:p>
          <w:p>
            <w:pPr>
              <w:keepNext w:val="0"/>
              <w:spacing w:before="0" w:after="0" w:line="240" w:lineRule="auto"/>
              <w:jc w:val="center"/>
            </w:pPr>
            <w:r>
              <w:rPr>
                <w:rFonts w:ascii="Calibri" w:hAnsi="Calibri"/>
                <w:b/>
                <w:i w:val="0"/>
                <w:color w:val="0B2545"/>
                <w:sz w:val="17"/>
              </w:rPr>
              <w:t>Assure &amp; recover</w:t>
            </w:r>
          </w:p>
        </w:tc>
        <w:tc>
          <w:tcPr>
            <w:tcW w:type="dxa" w:w="1560"/>
            <w:shd w:fill="E5F3F1" w:val="clear"/>
            <w:tcMar>
              <w:top w:w="110" w:type="dxa"/>
              <w:start w:w="130" w:type="dxa"/>
              <w:bottom w:w="110" w:type="dxa"/>
              <w:end w:w="130" w:type="dxa"/>
            </w:tcMar>
            <w:vAlign w:val="center"/>
          </w:tcPr>
          <w:p>
            <w:pPr>
              <w:keepNext w:val="0"/>
              <w:spacing w:before="0" w:after="20" w:line="264" w:lineRule="auto"/>
              <w:jc w:val="center"/>
            </w:pPr>
            <w:r/>
            <w:r>
              <w:rPr>
                <w:rFonts w:ascii="Calibri" w:hAnsi="Calibri"/>
                <w:b/>
                <w:i w:val="0"/>
                <w:color w:val="188A8A"/>
                <w:sz w:val="16"/>
              </w:rPr>
              <w:t>6</w:t>
            </w:r>
          </w:p>
          <w:p>
            <w:pPr>
              <w:keepNext w:val="0"/>
              <w:spacing w:before="0" w:after="0" w:line="240" w:lineRule="auto"/>
              <w:jc w:val="center"/>
            </w:pPr>
            <w:r>
              <w:rPr>
                <w:rFonts w:ascii="Calibri" w:hAnsi="Calibri"/>
                <w:b/>
                <w:i w:val="0"/>
                <w:color w:val="0B2545"/>
                <w:sz w:val="17"/>
              </w:rPr>
              <w:t>Prove value</w:t>
            </w:r>
          </w:p>
        </w:tc>
      </w:tr>
    </w:tbl>
    <w:p>
      <w:pPr>
        <w:keepNext w:val="0"/>
        <w:widowControl/>
        <w:spacing w:before="0" w:after="40" w:line="264" w:lineRule="auto"/>
      </w:pPr>
    </w:p>
    <w:tbl>
      <w:tblPr>
        <w:tblStyle w:val="TableGrid"/>
        <w:tblW w:type="dxa" w:w="9360"/>
        <w:jc w:val="left"/>
        <w:tblLayout w:type="fixed"/>
        <w:tblLook w:firstColumn="1" w:firstRow="1" w:lastColumn="0" w:lastRow="0" w:noHBand="0" w:noVBand="1" w:val="04A0"/>
        <w:tblInd w:w="120" w:type="dxa"/>
      </w:tblPr>
      <w:tblGrid>
        <w:gridCol w:w="1900"/>
        <w:gridCol w:w="1300"/>
        <w:gridCol w:w="5260"/>
        <w:gridCol w:w="900"/>
      </w:tblGrid>
      <w:tr>
        <w:trPr>
          <w:tblHeader w:val="true"/>
          <w:cantSplit/>
        </w:trPr>
        <w:tc>
          <w:tcPr>
            <w:tcW w:type="dxa" w:w="19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Stage</w:t>
            </w:r>
          </w:p>
        </w:tc>
        <w:tc>
          <w:tcPr>
            <w:tcW w:type="dxa" w:w="13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True owner</w:t>
            </w:r>
          </w:p>
        </w:tc>
        <w:tc>
          <w:tcPr>
            <w:tcW w:type="dxa" w:w="526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Observed condition</w:t>
            </w:r>
          </w:p>
        </w:tc>
        <w:tc>
          <w:tcPr>
            <w:tcW w:type="dxa" w:w="9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Evidence</w:t>
            </w:r>
          </w:p>
        </w:tc>
      </w:tr>
      <w:tr>
        <w:trPr>
          <w:cantSplit/>
        </w:trPr>
        <w:tc>
          <w:tcPr>
            <w:tcW w:type="dxa" w:w="19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Commercial handover</w:t>
            </w:r>
          </w:p>
        </w:tc>
        <w:tc>
          <w:tcPr>
            <w:tcW w:type="dxa" w:w="13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Human-led</w:t>
            </w:r>
          </w:p>
        </w:tc>
        <w:tc>
          <w:tcPr>
            <w:tcW w:type="dxa" w:w="52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Inconsistent transfer of promises, stakeholders, readiness and commercial conditions</w:t>
            </w:r>
          </w:p>
        </w:tc>
        <w:tc>
          <w:tcPr>
            <w:tcW w:type="dxa" w:w="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High</w:t>
            </w:r>
          </w:p>
        </w:tc>
      </w:tr>
      <w:tr>
        <w:trPr>
          <w:cantSplit/>
        </w:trPr>
        <w:tc>
          <w:tcPr>
            <w:tcW w:type="dxa" w:w="1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Requirements and ICP</w:t>
            </w:r>
          </w:p>
        </w:tc>
        <w:tc>
          <w:tcPr>
            <w:tcW w:type="dxa" w:w="13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Human-led</w:t>
            </w:r>
          </w:p>
        </w:tc>
        <w:tc>
          <w:tcPr>
            <w:tcW w:type="dxa" w:w="52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Customer context and success criteria had to be elicited and translated manually</w:t>
            </w:r>
          </w:p>
        </w:tc>
        <w:tc>
          <w:tcPr>
            <w:tcW w:type="dxa" w:w="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High</w:t>
            </w:r>
          </w:p>
        </w:tc>
      </w:tr>
      <w:tr>
        <w:trPr>
          <w:cantSplit/>
        </w:trPr>
        <w:tc>
          <w:tcPr>
            <w:tcW w:type="dxa" w:w="19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Provisioning and configuration</w:t>
            </w:r>
          </w:p>
        </w:tc>
        <w:tc>
          <w:tcPr>
            <w:tcW w:type="dxa" w:w="13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Shared</w:t>
            </w:r>
          </w:p>
        </w:tc>
        <w:tc>
          <w:tcPr>
            <w:tcW w:type="dxa" w:w="52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Platform enablement was real, but setup and edge cases required cross-functional intervention</w:t>
            </w:r>
          </w:p>
        </w:tc>
        <w:tc>
          <w:tcPr>
            <w:tcW w:type="dxa" w:w="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Medium</w:t>
            </w:r>
          </w:p>
        </w:tc>
      </w:tr>
      <w:tr>
        <w:trPr>
          <w:cantSplit/>
        </w:trPr>
        <w:tc>
          <w:tcPr>
            <w:tcW w:type="dxa" w:w="1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Campaign execution</w:t>
            </w:r>
          </w:p>
        </w:tc>
        <w:tc>
          <w:tcPr>
            <w:tcW w:type="dxa" w:w="13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AI-enabled</w:t>
            </w:r>
          </w:p>
        </w:tc>
        <w:tc>
          <w:tcPr>
            <w:tcW w:type="dxa" w:w="52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Core automation executed activity; quality and customer fit still depended on configuration and review</w:t>
            </w:r>
          </w:p>
        </w:tc>
        <w:tc>
          <w:tcPr>
            <w:tcW w:type="dxa" w:w="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High</w:t>
            </w:r>
          </w:p>
        </w:tc>
      </w:tr>
      <w:tr>
        <w:trPr>
          <w:cantSplit/>
        </w:trPr>
        <w:tc>
          <w:tcPr>
            <w:tcW w:type="dxa" w:w="19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Quality assurance</w:t>
            </w:r>
          </w:p>
        </w:tc>
        <w:tc>
          <w:tcPr>
            <w:tcW w:type="dxa" w:w="13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Human-led</w:t>
            </w:r>
          </w:p>
        </w:tc>
        <w:tc>
          <w:tcPr>
            <w:tcW w:type="dxa" w:w="52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No systematic first-pass-quality or override-rate evidence was available</w:t>
            </w:r>
          </w:p>
        </w:tc>
        <w:tc>
          <w:tcPr>
            <w:tcW w:type="dxa" w:w="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Medium</w:t>
            </w:r>
          </w:p>
        </w:tc>
      </w:tr>
      <w:tr>
        <w:trPr>
          <w:cantSplit/>
        </w:trPr>
        <w:tc>
          <w:tcPr>
            <w:tcW w:type="dxa" w:w="1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Exception handling</w:t>
            </w:r>
          </w:p>
        </w:tc>
        <w:tc>
          <w:tcPr>
            <w:tcW w:type="dxa" w:w="13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Human-led/shared</w:t>
            </w:r>
          </w:p>
        </w:tc>
        <w:tc>
          <w:tcPr>
            <w:tcW w:type="dxa" w:w="52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Customers and staff detected, reproduced, routed and followed issues through to resolution</w:t>
            </w:r>
          </w:p>
        </w:tc>
        <w:tc>
          <w:tcPr>
            <w:tcW w:type="dxa" w:w="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High</w:t>
            </w:r>
          </w:p>
        </w:tc>
      </w:tr>
      <w:tr>
        <w:trPr>
          <w:cantSplit/>
        </w:trPr>
        <w:tc>
          <w:tcPr>
            <w:tcW w:type="dxa" w:w="19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Value attribution</w:t>
            </w:r>
          </w:p>
        </w:tc>
        <w:tc>
          <w:tcPr>
            <w:tcW w:type="dxa" w:w="13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Human-led</w:t>
            </w:r>
          </w:p>
        </w:tc>
        <w:tc>
          <w:tcPr>
            <w:tcW w:type="dxa" w:w="52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Usage and activity required interpretation before they could support an outcome narrative</w:t>
            </w:r>
          </w:p>
        </w:tc>
        <w:tc>
          <w:tcPr>
            <w:tcW w:type="dxa" w:w="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High</w:t>
            </w:r>
          </w:p>
        </w:tc>
      </w:tr>
      <w:tr>
        <w:trPr>
          <w:cantSplit/>
        </w:trPr>
        <w:tc>
          <w:tcPr>
            <w:tcW w:type="dxa" w:w="1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Renewal readiness</w:t>
            </w:r>
          </w:p>
        </w:tc>
        <w:tc>
          <w:tcPr>
            <w:tcW w:type="dxa" w:w="13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Human-led</w:t>
            </w:r>
          </w:p>
        </w:tc>
        <w:tc>
          <w:tcPr>
            <w:tcW w:type="dxa" w:w="52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Risk, contractual dates and commercial pathways were assembled manually</w:t>
            </w:r>
          </w:p>
        </w:tc>
        <w:tc>
          <w:tcPr>
            <w:tcW w:type="dxa" w:w="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High</w:t>
            </w:r>
          </w:p>
        </w:tc>
      </w:tr>
    </w:tbl>
    <w:p>
      <w:pPr>
        <w:keepNext w:val="0"/>
        <w:widowControl/>
        <w:spacing w:before="0" w:after="40" w:line="264" w:lineRule="auto"/>
      </w:pPr>
    </w:p>
    <w:p>
      <w:pPr>
        <w:widowControl/>
      </w:pPr>
      <w:r>
        <w:br w:type="page"/>
      </w:r>
    </w:p>
    <w:p>
      <w:pPr>
        <w:pStyle w:val="Heading1"/>
        <w:keepNext/>
        <w:widowControl/>
      </w:pPr>
      <w:r>
        <w:t>5. What the methodology concluded</w:t>
      </w:r>
    </w:p>
    <w:p>
      <w:pPr>
        <w:keepNext w:val="0"/>
        <w:widowControl/>
        <w:spacing w:before="0" w:after="120" w:line="264" w:lineRule="auto"/>
      </w:pPr>
      <w:r>
        <w:rPr>
          <w:rFonts w:ascii="Calibri" w:hAnsi="Calibri"/>
          <w:b w:val="0"/>
          <w:i w:val="0"/>
          <w:color w:val="222222"/>
          <w:sz w:val="22"/>
        </w:rPr>
        <w:t>The retrospective evidence does not support a simplistic conclusion that the organisation was merely performing AI. The platform contained genuine automation and customers were attempting to use it. The stronger conclusion is that operational maturity was uneven: technical capability existed, while the customer system required to make that capability dependable remained fragmented and person-dependent.</w:t>
      </w:r>
    </w:p>
    <w:tbl>
      <w:tblPr>
        <w:tblStyle w:val="TableGrid"/>
        <w:tblW w:type="dxa" w:w="9360"/>
        <w:jc w:val="left"/>
        <w:tblLayout w:type="fixed"/>
        <w:tblLook w:firstColumn="1" w:firstRow="1" w:lastColumn="0" w:lastRow="0" w:noHBand="0" w:noVBand="1" w:val="04A0"/>
        <w:tblInd w:w="120" w:type="dxa"/>
      </w:tblPr>
      <w:tblGrid>
        <w:gridCol w:w="1750"/>
        <w:gridCol w:w="1950"/>
        <w:gridCol w:w="4560"/>
        <w:gridCol w:w="1100"/>
      </w:tblGrid>
      <w:tr>
        <w:trPr>
          <w:tblHeader w:val="true"/>
          <w:cantSplit/>
        </w:trPr>
        <w:tc>
          <w:tcPr>
            <w:tcW w:type="dxa" w:w="175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Dimension</w:t>
            </w:r>
          </w:p>
        </w:tc>
        <w:tc>
          <w:tcPr>
            <w:tcW w:type="dxa" w:w="195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Finding</w:t>
            </w:r>
          </w:p>
        </w:tc>
        <w:tc>
          <w:tcPr>
            <w:tcW w:type="dxa" w:w="456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Evidence-led interpretation</w:t>
            </w:r>
          </w:p>
        </w:tc>
        <w:tc>
          <w:tcPr>
            <w:tcW w:type="dxa" w:w="11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Confidence</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Leadership Alignment</w:t>
            </w:r>
          </w:p>
        </w:tc>
        <w:tc>
          <w:tcPr>
            <w:tcW w:type="dxa" w:w="195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Maturity band reported</w:t>
            </w:r>
          </w:p>
        </w:tc>
        <w:tc>
          <w:tcPr>
            <w:tcW w:type="dxa" w:w="45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Sales expectations sometimes exceeded the product’s operator-led reality.</w:t>
            </w:r>
          </w:p>
        </w:tc>
        <w:tc>
          <w:tcPr>
            <w:tcW w:type="dxa" w:w="11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Medium</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Strategic Integration</w:t>
            </w:r>
          </w:p>
        </w:tc>
        <w:tc>
          <w:tcPr>
            <w:tcW w:type="dxa" w:w="19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Partial</w:t>
            </w:r>
          </w:p>
        </w:tc>
        <w:tc>
          <w:tcPr>
            <w:tcW w:type="dxa" w:w="45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AI was central to the product and commercial proposition, but post-sale success criteria and value evidence were not consistently embedded in the operating model.</w:t>
            </w:r>
          </w:p>
        </w:tc>
        <w:tc>
          <w:tcPr>
            <w:tcW w:type="dxa" w:w="1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Medium</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Workflow Integration</w:t>
            </w:r>
          </w:p>
        </w:tc>
        <w:tc>
          <w:tcPr>
            <w:tcW w:type="dxa" w:w="195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Emerging</w:t>
            </w:r>
          </w:p>
        </w:tc>
        <w:tc>
          <w:tcPr>
            <w:tcW w:type="dxa" w:w="45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Core execution was automated, while scoping, readiness, QA, exceptions and value proof remained human-led.</w:t>
            </w:r>
          </w:p>
        </w:tc>
        <w:tc>
          <w:tcPr>
            <w:tcW w:type="dxa" w:w="11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Operational Dependency</w:t>
            </w:r>
          </w:p>
        </w:tc>
        <w:tc>
          <w:tcPr>
            <w:tcW w:type="dxa" w:w="19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Mixed</w:t>
            </w:r>
          </w:p>
        </w:tc>
        <w:tc>
          <w:tcPr>
            <w:tcW w:type="dxa" w:w="45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The product was load-bearing for the sold use case, yet customer outcomes also depended on manual CS and Engineering intervention.</w:t>
            </w:r>
          </w:p>
        </w:tc>
        <w:tc>
          <w:tcPr>
            <w:tcW w:type="dxa" w:w="1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Behavioural Adoption</w:t>
            </w:r>
          </w:p>
        </w:tc>
        <w:tc>
          <w:tcPr>
            <w:tcW w:type="dxa" w:w="195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Fragmented</w:t>
            </w:r>
          </w:p>
        </w:tc>
        <w:tc>
          <w:tcPr>
            <w:tcW w:type="dxa" w:w="45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Adoption varied by account and was often champion-dependent, newly assigned or under-utilised.</w:t>
            </w:r>
          </w:p>
        </w:tc>
        <w:tc>
          <w:tcPr>
            <w:tcW w:type="dxa" w:w="11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Trust &amp; Override</w:t>
            </w:r>
          </w:p>
        </w:tc>
        <w:tc>
          <w:tcPr>
            <w:tcW w:type="dxa" w:w="19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Limited evidence; high review reliance</w:t>
            </w:r>
          </w:p>
        </w:tc>
        <w:tc>
          <w:tcPr>
            <w:tcW w:type="dxa" w:w="45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Human checking, reconfiguration and first-run review were common, but no portfolio-wide override rate was measured.</w:t>
            </w:r>
          </w:p>
        </w:tc>
        <w:tc>
          <w:tcPr>
            <w:tcW w:type="dxa" w:w="1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Medium</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Governance Maturity</w:t>
            </w:r>
          </w:p>
        </w:tc>
        <w:tc>
          <w:tcPr>
            <w:tcW w:type="dxa" w:w="195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Developing</w:t>
            </w:r>
          </w:p>
        </w:tc>
        <w:tc>
          <w:tcPr>
            <w:tcW w:type="dxa" w:w="45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Ownership, handover, closure gates and escalation were inconsistent at baseline; structured controls were introduced during the engagement.</w:t>
            </w:r>
          </w:p>
        </w:tc>
        <w:tc>
          <w:tcPr>
            <w:tcW w:type="dxa" w:w="11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Risk &amp; Output Assurance</w:t>
            </w:r>
          </w:p>
        </w:tc>
        <w:tc>
          <w:tcPr>
            <w:tcW w:type="dxa" w:w="19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Developing from a low base</w:t>
            </w:r>
          </w:p>
        </w:tc>
        <w:tc>
          <w:tcPr>
            <w:tcW w:type="dxa" w:w="45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Repeated defects and incomplete closure validation exposed assurance gaps. Reproducible tickets and customer-side verification improved control.</w:t>
            </w:r>
          </w:p>
        </w:tc>
        <w:tc>
          <w:tcPr>
            <w:tcW w:type="dxa" w:w="1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bl>
    <w:p>
      <w:pPr>
        <w:keepNext w:val="0"/>
        <w:widowControl/>
        <w:spacing w:before="0" w:after="40" w:line="264" w:lineRule="auto"/>
      </w:pPr>
    </w:p>
    <w:p>
      <w:pPr>
        <w:pStyle w:val="Heading2"/>
        <w:keepNext/>
        <w:widowControl/>
      </w:pPr>
      <w:r>
        <w:t>Indicative maturity band</w:t>
      </w:r>
    </w:p>
    <w:p>
      <w:pPr>
        <w:keepNext w:val="0"/>
        <w:widowControl/>
        <w:spacing w:before="0" w:after="120" w:line="264" w:lineRule="auto"/>
      </w:pPr>
      <w:r>
        <w:rPr>
          <w:rFonts w:ascii="Calibri" w:hAnsi="Calibri"/>
          <w:b w:val="0"/>
          <w:i w:val="0"/>
          <w:color w:val="222222"/>
          <w:sz w:val="22"/>
        </w:rPr>
        <w:t>At baseline, the scoped workflow was most consistent with Level 2: Fragmented Pilots. There were pockets of Level 3: Functional Adoption where a customer had a defined use case, an engaged operator, a working campaign and a regular review cadence. Those pockets did not yet constitute an integrated, repeatable operating system across the portfolio.</w:t>
      </w:r>
    </w:p>
    <w:p>
      <w:pPr>
        <w:keepNext w:val="0"/>
        <w:widowControl/>
        <w:spacing w:before="0" w:after="120" w:line="264" w:lineRule="auto"/>
      </w:pPr>
      <w:r>
        <w:rPr>
          <w:rFonts w:ascii="Calibri" w:hAnsi="Calibri"/>
          <w:b w:val="0"/>
          <w:i w:val="0"/>
          <w:color w:val="222222"/>
          <w:sz w:val="22"/>
        </w:rPr>
        <w:t>By the end of the observation period, the implemented controls created the architecture required for broader Level 3 adoption: defined lifecycle stages, operating assets, risk visibility, issue discipline and value-review mechanisms. A formal re-score was not performed, so the case study does not claim that the portfolio as a whole completed the transition.</w:t>
      </w:r>
    </w:p>
    <w:p>
      <w:pPr>
        <w:pStyle w:val="Heading2"/>
        <w:keepNext/>
        <w:widowControl/>
      </w:pPr>
      <w:r>
        <w:t>Primary observed constraint</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10" w:type="dxa"/>
              <w:start w:w="130" w:type="dxa"/>
              <w:bottom w:w="110" w:type="dxa"/>
              <w:end w:w="130" w:type="dxa"/>
            </w:tcMar>
            <w:vAlign w:val="center"/>
            <w:shd w:fill="FFF6DE" w:val="clear"/>
          </w:tcPr>
          <w:p>
            <w:pPr>
              <w:keepNext w:val="0"/>
              <w:spacing w:before="0" w:after="40" w:line="264" w:lineRule="auto"/>
            </w:pPr>
            <w:r>
              <w:rPr>
                <w:rFonts w:ascii="Calibri" w:hAnsi="Calibri"/>
                <w:b/>
                <w:i w:val="0"/>
                <w:color w:val="A8751A"/>
                <w:sz w:val="18"/>
              </w:rPr>
              <w:t>WORKFLOW INTEGRATION</w:t>
            </w:r>
          </w:p>
          <w:p>
            <w:pPr>
              <w:keepNext w:val="0"/>
              <w:spacing w:before="0" w:after="0" w:line="269" w:lineRule="auto"/>
            </w:pPr>
            <w:r>
              <w:rPr>
                <w:rFonts w:ascii="Calibri" w:hAnsi="Calibri"/>
                <w:b/>
                <w:i w:val="0"/>
                <w:color w:val="0B2545"/>
                <w:sz w:val="22"/>
              </w:rPr>
              <w:t>The AI-enabled execution step was more mature than the surrounding customer workflow. Upstream context and readiness, and downstream assurance, exception recovery and value attribution, remained substantially human-dependent. Secondary constraints were Risk &amp; Output Assurance and champion dependency; the highest-leverage move was to productise this human scaffolding, not simply increase model capability.</w:t>
            </w:r>
          </w:p>
        </w:tc>
      </w:tr>
    </w:tbl>
    <w:p>
      <w:pPr>
        <w:keepNext w:val="0"/>
        <w:widowControl/>
        <w:spacing w:before="0" w:after="40" w:line="264" w:lineRule="auto"/>
      </w:pPr>
    </w:p>
    <w:p>
      <w:pPr>
        <w:pStyle w:val="Heading1"/>
        <w:keepNext/>
        <w:widowControl/>
      </w:pPr>
      <w:r>
        <w:t>6. The Theatre Gap and Autonomy Quality Matrix™</w:t>
      </w:r>
    </w:p>
    <w:p>
      <w:pPr>
        <w:pStyle w:val="Heading2"/>
        <w:keepNext/>
        <w:widowControl/>
      </w:pPr>
      <w:r>
        <w:t>A qualitative Theatre Gap</w:t>
      </w:r>
    </w:p>
    <w:p>
      <w:pPr>
        <w:keepNext w:val="0"/>
        <w:widowControl/>
        <w:spacing w:before="0" w:after="120" w:line="264" w:lineRule="auto"/>
      </w:pPr>
      <w:r>
        <w:rPr>
          <w:rFonts w:ascii="Calibri" w:hAnsi="Calibri"/>
          <w:b w:val="0"/>
          <w:i w:val="0"/>
          <w:color w:val="222222"/>
          <w:sz w:val="22"/>
        </w:rPr>
        <w:t>The framework defines the Theatre Gap as the difference between Stated Maturity and Operational Maturity. A numerical gap requires structured leadership input and operational scoring, which were not collected through the formal assessment instrument in this retrospective. The evidence nevertheless supports a qualitative gap.</w:t>
      </w:r>
    </w:p>
    <w:p>
      <w:pPr>
        <w:keepNext w:val="0"/>
        <w:widowControl/>
        <w:spacing w:before="0" w:after="120" w:line="264" w:lineRule="auto"/>
      </w:pPr>
      <w:r>
        <w:rPr>
          <w:rFonts w:ascii="Calibri" w:hAnsi="Calibri"/>
          <w:b w:val="0"/>
          <w:i w:val="0"/>
          <w:color w:val="222222"/>
          <w:sz w:val="22"/>
        </w:rPr>
        <w:t>The stated proposition in several customer contexts resembled an autonomous seller or a set-and-forget system. The operational evidence showed a platform that required operator-led ICP definition, context construction, proof of messaging, configuration work, volume thresholds, active monitoring and human recovery when exceptions occurred. The gap was therefore not between 'fake AI' and 'real AI'. It was between real task automation and an operating promise that implied more end-to-end ownership than the system could consistently carry.</w:t>
      </w:r>
    </w:p>
    <w:tbl>
      <w:tblPr>
        <w:tblStyle w:val="TableGrid"/>
        <w:tblW w:type="dxa" w:w="9360"/>
        <w:jc w:val="left"/>
        <w:tblLayout w:type="fixed"/>
        <w:tblLook w:firstColumn="1" w:firstRow="1" w:lastColumn="0" w:lastRow="0" w:noHBand="0" w:noVBand="1" w:val="04A0"/>
        <w:tblInd w:w="120" w:type="dxa"/>
      </w:tblPr>
      <w:tblGrid>
        <w:gridCol w:w="1500"/>
        <w:gridCol w:w="3930"/>
        <w:gridCol w:w="3930"/>
      </w:tblGrid>
      <w:tr>
        <w:trPr>
          <w:cantSplit/>
        </w:trPr>
        <w:tc>
          <w:tcPr>
            <w:tcW w:type="dxa" w:w="1500"/>
            <w:shd w:fill="0B2545" w:val="clear"/>
            <w:tcMar>
              <w:top w:w="110" w:type="dxa"/>
              <w:start w:w="130" w:type="dxa"/>
              <w:bottom w:w="110" w:type="dxa"/>
              <w:end w:w="130" w:type="dxa"/>
            </w:tcMar>
            <w:vAlign w:val="center"/>
          </w:tcPr>
          <w:p>
            <w:pPr>
              <w:keepNext w:val="0"/>
              <w:spacing w:before="0" w:after="0" w:line="259" w:lineRule="auto"/>
              <w:jc w:val="center"/>
            </w:pPr>
            <w:r/>
            <w:r>
              <w:rPr>
                <w:rFonts w:ascii="Calibri" w:hAnsi="Calibri"/>
                <w:b/>
                <w:i w:val="0"/>
                <w:color w:val="FFFFFF"/>
                <w:sz w:val="16"/>
              </w:rPr>
              <w:t>OUTPUT QUALITY</w:t>
            </w:r>
          </w:p>
        </w:tc>
        <w:tc>
          <w:tcPr>
            <w:tcW w:type="dxa" w:w="3930"/>
            <w:shd w:fill="0B2545" w:val="clear"/>
            <w:tcMar>
              <w:top w:w="110" w:type="dxa"/>
              <w:start w:w="130" w:type="dxa"/>
              <w:bottom w:w="110" w:type="dxa"/>
              <w:end w:w="130" w:type="dxa"/>
            </w:tcMar>
            <w:vAlign w:val="center"/>
          </w:tcPr>
          <w:p>
            <w:pPr>
              <w:keepNext w:val="0"/>
              <w:spacing w:before="0" w:after="0" w:line="259" w:lineRule="auto"/>
              <w:jc w:val="center"/>
            </w:pPr>
            <w:r/>
            <w:r>
              <w:rPr>
                <w:rFonts w:ascii="Calibri" w:hAnsi="Calibri"/>
                <w:b/>
                <w:i w:val="0"/>
                <w:color w:val="FFFFFF"/>
                <w:sz w:val="16"/>
              </w:rPr>
              <w:t>LOWER WORKFLOW AUTONOMY</w:t>
            </w:r>
          </w:p>
        </w:tc>
        <w:tc>
          <w:tcPr>
            <w:tcW w:type="dxa" w:w="3930"/>
            <w:shd w:fill="0B2545" w:val="clear"/>
            <w:tcMar>
              <w:top w:w="110" w:type="dxa"/>
              <w:start w:w="130" w:type="dxa"/>
              <w:bottom w:w="110" w:type="dxa"/>
              <w:end w:w="130" w:type="dxa"/>
            </w:tcMar>
            <w:vAlign w:val="center"/>
          </w:tcPr>
          <w:p>
            <w:pPr>
              <w:keepNext w:val="0"/>
              <w:spacing w:before="0" w:after="0" w:line="259" w:lineRule="auto"/>
              <w:jc w:val="center"/>
            </w:pPr>
            <w:r/>
            <w:r>
              <w:rPr>
                <w:rFonts w:ascii="Calibri" w:hAnsi="Calibri"/>
                <w:b/>
                <w:i w:val="0"/>
                <w:color w:val="FFFFFF"/>
                <w:sz w:val="16"/>
              </w:rPr>
              <w:t>HIGHER WORKFLOW AUTONOMY</w:t>
            </w:r>
          </w:p>
        </w:tc>
      </w:tr>
      <w:tr>
        <w:trPr>
          <w:cantSplit/>
        </w:trPr>
        <w:tc>
          <w:tcPr>
            <w:tcW w:type="dxa" w:w="1500"/>
            <w:shd w:fill="F2F4F7" w:val="clear"/>
            <w:tcMar>
              <w:top w:w="110" w:type="dxa"/>
              <w:start w:w="130" w:type="dxa"/>
              <w:bottom w:w="110" w:type="dxa"/>
              <w:end w:w="130" w:type="dxa"/>
            </w:tcMar>
            <w:vAlign w:val="center"/>
          </w:tcPr>
          <w:p>
            <w:pPr>
              <w:keepNext w:val="0"/>
              <w:spacing w:before="0" w:after="0" w:line="259" w:lineRule="auto"/>
              <w:jc w:val="center"/>
            </w:pPr>
            <w:r/>
            <w:r>
              <w:rPr>
                <w:rFonts w:ascii="Calibri" w:hAnsi="Calibri"/>
                <w:b w:val="0"/>
                <w:i w:val="0"/>
                <w:color w:val="0B2545"/>
                <w:sz w:val="17"/>
              </w:rPr>
              <w:t>Higher</w:t>
            </w:r>
          </w:p>
        </w:tc>
        <w:tc>
          <w:tcPr>
            <w:tcW w:type="dxa" w:w="3930"/>
            <w:shd w:fill="E8F1F8" w:val="clear"/>
            <w:tcMar>
              <w:top w:w="110" w:type="dxa"/>
              <w:start w:w="130" w:type="dxa"/>
              <w:bottom w:w="110" w:type="dxa"/>
              <w:end w:w="130" w:type="dxa"/>
            </w:tcMar>
            <w:vAlign w:val="center"/>
          </w:tcPr>
          <w:p>
            <w:pPr>
              <w:keepNext w:val="0"/>
              <w:spacing w:before="0" w:after="0" w:line="259" w:lineRule="auto"/>
              <w:jc w:val="center"/>
            </w:pPr>
            <w:r/>
            <w:r>
              <w:rPr>
                <w:rFonts w:ascii="Calibri" w:hAnsi="Calibri"/>
                <w:b/>
                <w:i w:val="0"/>
                <w:color w:val="0B2545"/>
                <w:sz w:val="17"/>
              </w:rPr>
              <w:t>USEFUL ASSISTANCE</w:t>
              <w:br/>
              <w:t>Reliable output; humans still drive the process</w:t>
            </w:r>
          </w:p>
        </w:tc>
        <w:tc>
          <w:tcPr>
            <w:tcW w:type="dxa" w:w="3930"/>
            <w:shd w:fill="E5F3F1" w:val="clear"/>
            <w:tcMar>
              <w:top w:w="110" w:type="dxa"/>
              <w:start w:w="130" w:type="dxa"/>
              <w:bottom w:w="110" w:type="dxa"/>
              <w:end w:w="130" w:type="dxa"/>
            </w:tcMar>
            <w:vAlign w:val="center"/>
          </w:tcPr>
          <w:p>
            <w:pPr>
              <w:keepNext w:val="0"/>
              <w:spacing w:before="0" w:after="0" w:line="259" w:lineRule="auto"/>
              <w:jc w:val="center"/>
            </w:pPr>
            <w:r/>
            <w:r>
              <w:rPr>
                <w:rFonts w:ascii="Calibri" w:hAnsi="Calibri"/>
                <w:b/>
                <w:i w:val="0"/>
                <w:color w:val="0B2545"/>
                <w:sz w:val="17"/>
              </w:rPr>
              <w:t>TRUSTED WORKFLOW AUTONOMY</w:t>
              <w:br/>
              <w:t>AI owns bounded stages with reliable outputs and controls</w:t>
            </w:r>
          </w:p>
        </w:tc>
      </w:tr>
      <w:tr>
        <w:trPr>
          <w:cantSplit/>
        </w:trPr>
        <w:tc>
          <w:tcPr>
            <w:tcW w:type="dxa" w:w="1500"/>
            <w:shd w:fill="F2F4F7" w:val="clear"/>
            <w:tcMar>
              <w:top w:w="110" w:type="dxa"/>
              <w:start w:w="130" w:type="dxa"/>
              <w:bottom w:w="110" w:type="dxa"/>
              <w:end w:w="130" w:type="dxa"/>
            </w:tcMar>
            <w:vAlign w:val="center"/>
          </w:tcPr>
          <w:p>
            <w:pPr>
              <w:keepNext w:val="0"/>
              <w:spacing w:before="0" w:after="0" w:line="259" w:lineRule="auto"/>
              <w:jc w:val="center"/>
            </w:pPr>
            <w:r/>
            <w:r>
              <w:rPr>
                <w:rFonts w:ascii="Calibri" w:hAnsi="Calibri"/>
                <w:b w:val="0"/>
                <w:i w:val="0"/>
                <w:color w:val="0B2545"/>
                <w:sz w:val="17"/>
              </w:rPr>
              <w:t>Lower / unverified</w:t>
            </w:r>
          </w:p>
        </w:tc>
        <w:tc>
          <w:tcPr>
            <w:tcW w:type="dxa" w:w="3930"/>
            <w:shd w:fill="FFF6DE" w:val="clear"/>
            <w:tcMar>
              <w:top w:w="110" w:type="dxa"/>
              <w:start w:w="130" w:type="dxa"/>
              <w:bottom w:w="110" w:type="dxa"/>
              <w:end w:w="130" w:type="dxa"/>
            </w:tcMar>
            <w:vAlign w:val="center"/>
          </w:tcPr>
          <w:p>
            <w:pPr>
              <w:keepNext w:val="0"/>
              <w:spacing w:before="0" w:after="0" w:line="259" w:lineRule="auto"/>
              <w:jc w:val="center"/>
            </w:pPr>
            <w:r/>
            <w:r>
              <w:rPr>
                <w:rFonts w:ascii="Calibri" w:hAnsi="Calibri"/>
                <w:b/>
                <w:i w:val="0"/>
                <w:color w:val="0B2545"/>
                <w:sz w:val="17"/>
              </w:rPr>
              <w:t>AI THEATRE</w:t>
              <w:br/>
              <w:t>Visible automation with heavy correction or limited embedded value</w:t>
            </w:r>
          </w:p>
        </w:tc>
        <w:tc>
          <w:tcPr>
            <w:tcW w:type="dxa" w:w="3930"/>
            <w:shd w:fill="FCE8E6" w:val="clear"/>
            <w:tcMar>
              <w:top w:w="110" w:type="dxa"/>
              <w:start w:w="130" w:type="dxa"/>
              <w:bottom w:w="110" w:type="dxa"/>
              <w:end w:w="130" w:type="dxa"/>
            </w:tcMar>
            <w:vAlign w:val="center"/>
          </w:tcPr>
          <w:p>
            <w:pPr>
              <w:keepNext w:val="0"/>
              <w:spacing w:before="0" w:after="0" w:line="259" w:lineRule="auto"/>
              <w:jc w:val="center"/>
            </w:pPr>
            <w:r/>
            <w:r>
              <w:rPr>
                <w:rFonts w:ascii="Calibri" w:hAnsi="Calibri"/>
                <w:b/>
                <w:i w:val="0"/>
                <w:color w:val="9B1C1C"/>
                <w:sz w:val="17"/>
              </w:rPr>
              <w:t>RISK AT SCALE</w:t>
              <w:br/>
              <w:t>Material autonomy without adequate assurance or failure containment</w:t>
            </w:r>
          </w:p>
        </w:tc>
      </w:tr>
    </w:tbl>
    <w:p>
      <w:pPr>
        <w:keepNext w:val="0"/>
        <w:widowControl/>
        <w:spacing w:before="0" w:after="40" w:line="264" w:lineRule="auto"/>
      </w:pPr>
    </w:p>
    <w:tbl>
      <w:tblPr>
        <w:tblStyle w:val="TableGrid"/>
        <w:tblW w:type="dxa" w:w="9360"/>
        <w:jc w:val="left"/>
        <w:tblLayout w:type="fixed"/>
        <w:tblLook w:firstColumn="1" w:firstRow="1" w:lastColumn="0" w:lastRow="0" w:noHBand="0" w:noVBand="1" w:val="04A0"/>
        <w:tblInd w:w="120" w:type="dxa"/>
      </w:tblPr>
      <w:tblGrid>
        <w:gridCol w:w="1750"/>
        <w:gridCol w:w="2150"/>
        <w:gridCol w:w="4360"/>
        <w:gridCol w:w="1100"/>
      </w:tblGrid>
      <w:tr>
        <w:trPr>
          <w:tblHeader w:val="true"/>
          <w:cantSplit/>
        </w:trPr>
        <w:tc>
          <w:tcPr>
            <w:tcW w:type="dxa" w:w="175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Workflow area</w:t>
            </w:r>
          </w:p>
        </w:tc>
        <w:tc>
          <w:tcPr>
            <w:tcW w:type="dxa" w:w="215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Indicative placement</w:t>
            </w:r>
          </w:p>
        </w:tc>
        <w:tc>
          <w:tcPr>
            <w:tcW w:type="dxa" w:w="436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Reason</w:t>
            </w:r>
          </w:p>
        </w:tc>
        <w:tc>
          <w:tcPr>
            <w:tcW w:type="dxa" w:w="11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Confidence</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Requirements and scoping</w:t>
            </w:r>
          </w:p>
        </w:tc>
        <w:tc>
          <w:tcPr>
            <w:tcW w:type="dxa" w:w="215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Not classified</w:t>
            </w:r>
          </w:p>
        </w:tc>
        <w:tc>
          <w:tcPr>
            <w:tcW w:type="dxa" w:w="43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Predominantly human activity; the question is workflow design rather than AI output quality.</w:t>
            </w:r>
          </w:p>
        </w:tc>
        <w:tc>
          <w:tcPr>
            <w:tcW w:type="dxa" w:w="11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Campaign configuration</w:t>
            </w:r>
          </w:p>
        </w:tc>
        <w:tc>
          <w:tcPr>
            <w:tcW w:type="dxa" w:w="21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Useful Assistance / AI Theatre boundary</w:t>
            </w:r>
          </w:p>
        </w:tc>
        <w:tc>
          <w:tcPr>
            <w:tcW w:type="dxa" w:w="43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AI capability was useful, but poor inputs or unclear configuration could create substantial human correction.</w:t>
            </w:r>
          </w:p>
        </w:tc>
        <w:tc>
          <w:tcPr>
            <w:tcW w:type="dxa" w:w="1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Medium</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Campaign execution</w:t>
            </w:r>
          </w:p>
        </w:tc>
        <w:tc>
          <w:tcPr>
            <w:tcW w:type="dxa" w:w="215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AI Theatre / Risk at Scale exposure</w:t>
            </w:r>
          </w:p>
        </w:tc>
        <w:tc>
          <w:tcPr>
            <w:tcW w:type="dxa" w:w="43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The system could execute at volume, while assurance and exception detection were uneven. Placement varied by account.</w:t>
            </w:r>
          </w:p>
        </w:tc>
        <w:tc>
          <w:tcPr>
            <w:tcW w:type="dxa" w:w="11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Medium</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Exception handling</w:t>
            </w:r>
          </w:p>
        </w:tc>
        <w:tc>
          <w:tcPr>
            <w:tcW w:type="dxa" w:w="21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Lower autonomy</w:t>
            </w:r>
          </w:p>
        </w:tc>
        <w:tc>
          <w:tcPr>
            <w:tcW w:type="dxa" w:w="43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Recovery depended on customers, CS and Engineering; quality was created through human intervention.</w:t>
            </w:r>
          </w:p>
        </w:tc>
        <w:tc>
          <w:tcPr>
            <w:tcW w:type="dxa" w:w="11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6"/>
              </w:rPr>
              <w:t>Value attribution</w:t>
            </w:r>
          </w:p>
        </w:tc>
        <w:tc>
          <w:tcPr>
            <w:tcW w:type="dxa" w:w="215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Insufficient evidence to classify</w:t>
            </w:r>
          </w:p>
        </w:tc>
        <w:tc>
          <w:tcPr>
            <w:tcW w:type="dxa" w:w="43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The value layer was mainly human-assembled and lacked consistent auditable outcome data.</w:t>
            </w:r>
          </w:p>
        </w:tc>
        <w:tc>
          <w:tcPr>
            <w:tcW w:type="dxa" w:w="11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6"/>
              </w:rPr>
              <w:t>High</w:t>
            </w:r>
          </w:p>
        </w:tc>
      </w:tr>
    </w:tbl>
    <w:p>
      <w:pPr>
        <w:keepNext w:val="0"/>
        <w:widowControl/>
        <w:spacing w:before="0" w:after="40" w:line="264" w:lineRule="auto"/>
      </w:pPr>
    </w:p>
    <w:p>
      <w:pPr>
        <w:pStyle w:val="Heading1"/>
        <w:keepNext/>
        <w:widowControl/>
      </w:pPr>
      <w:r>
        <w:t>7. Changes implemented during the engagement</w:t>
      </w:r>
    </w:p>
    <w:p>
      <w:pPr>
        <w:keepNext w:val="0"/>
        <w:widowControl/>
        <w:spacing w:before="0" w:after="120" w:line="264" w:lineRule="auto"/>
      </w:pPr>
      <w:r>
        <w:rPr>
          <w:rFonts w:ascii="Calibri" w:hAnsi="Calibri"/>
          <w:b w:val="0"/>
          <w:i w:val="0"/>
          <w:color w:val="222222"/>
          <w:sz w:val="22"/>
        </w:rPr>
        <w:t>The intervention did not attempt to make the AI more autonomous by decree. It first created the operating conditions required for trustworthy adoption: defined stages, clearer evidence, repeatable actions and visible responsibility. Implementation depth varied across accounts because the system was built while the portfolio remained live.</w:t>
      </w:r>
    </w:p>
    <w:tbl>
      <w:tblPr>
        <w:tblStyle w:val="TableGrid"/>
        <w:tblW w:type="dxa" w:w="9360"/>
        <w:jc w:val="left"/>
        <w:tblLayout w:type="fixed"/>
        <w:tblLook w:firstColumn="1" w:firstRow="1" w:lastColumn="0" w:lastRow="0" w:noHBand="0" w:noVBand="1" w:val="04A0"/>
        <w:tblInd w:w="120" w:type="dxa"/>
      </w:tblPr>
      <w:tblGrid>
        <w:gridCol w:w="1750"/>
        <w:gridCol w:w="3900"/>
        <w:gridCol w:w="3710"/>
      </w:tblGrid>
      <w:tr>
        <w:trPr>
          <w:tblHeader w:val="true"/>
          <w:cantSplit/>
        </w:trPr>
        <w:tc>
          <w:tcPr>
            <w:tcW w:type="dxa" w:w="175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Control layer</w:t>
            </w:r>
          </w:p>
        </w:tc>
        <w:tc>
          <w:tcPr>
            <w:tcW w:type="dxa" w:w="39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What was implemented</w:t>
            </w:r>
          </w:p>
        </w:tc>
        <w:tc>
          <w:tcPr>
            <w:tcW w:type="dxa" w:w="371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Immediate operating result</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Lifecycle architecture</w:t>
            </w:r>
          </w:p>
        </w:tc>
        <w:tc>
          <w:tcPr>
            <w:tcW w:type="dxa" w:w="3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 six-stage post-sale lifecycle covering handover, activation, adoption, value evidence and commercial continuation.</w:t>
            </w:r>
          </w:p>
        </w:tc>
        <w:tc>
          <w:tcPr>
            <w:tcW w:type="dxa" w:w="37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Created a common operating language and clearer progression logic.</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Activation discipline</w:t>
            </w:r>
          </w:p>
        </w:tc>
        <w:tc>
          <w:tcPr>
            <w:tcW w:type="dxa" w:w="3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 five-day activation target and readiness focus, alongside account-specific onboarding plans.</w:t>
            </w:r>
          </w:p>
        </w:tc>
        <w:tc>
          <w:tcPr>
            <w:tcW w:type="dxa" w:w="37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Made activation delay and missing inputs visible rather than allowing them to disappear into an open-ended process.</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Enablement system</w:t>
            </w:r>
          </w:p>
        </w:tc>
        <w:tc>
          <w:tcPr>
            <w:tcW w:type="dxa" w:w="3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 25-page onboarding handbook with eight assets, plus bespoke onboarding or recovery artefacts across at least 13 accounts.</w:t>
            </w:r>
          </w:p>
        </w:tc>
        <w:tc>
          <w:tcPr>
            <w:tcW w:type="dxa" w:w="37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Converted tacit AM knowledge into reusable customer and internal guidance.</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Health and risk</w:t>
            </w:r>
          </w:p>
        </w:tc>
        <w:tc>
          <w:tcPr>
            <w:tcW w:type="dxa" w:w="3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RAG health scoring and more than ten commercial, adoption, stakeholder and delivery indicators.</w:t>
            </w:r>
          </w:p>
        </w:tc>
        <w:tc>
          <w:tcPr>
            <w:tcW w:type="dxa" w:w="37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Created structured visibility across a portfolio previously dependent on memory and manual interpretation.</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Issue discipline</w:t>
            </w:r>
          </w:p>
        </w:tc>
        <w:tc>
          <w:tcPr>
            <w:tcW w:type="dxa" w:w="3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Reproducible ticket evidence, clearer categorisation, cross-functional escalation and customer-side validation before closure where applied.</w:t>
            </w:r>
          </w:p>
        </w:tc>
        <w:tc>
          <w:tcPr>
            <w:tcW w:type="dxa" w:w="37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Separated onboarding friction, user error and product defects; reduced the risk of treating recurring symptoms as resolved.</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Value evidence</w:t>
            </w:r>
          </w:p>
        </w:tc>
        <w:tc>
          <w:tcPr>
            <w:tcW w:type="dxa" w:w="3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Success criteria, structured success plans, QBR preparation and account-specific measurement guides.</w:t>
            </w:r>
          </w:p>
        </w:tc>
        <w:tc>
          <w:tcPr>
            <w:tcW w:type="dxa" w:w="37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Moved the conversation from usage alone toward customer-defined evidence of value.</w:t>
            </w:r>
          </w:p>
        </w:tc>
      </w:tr>
      <w:tr>
        <w:trPr>
          <w:cantSplit/>
        </w:trPr>
        <w:tc>
          <w:tcPr>
            <w:tcW w:type="dxa" w:w="17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Commercial pathways</w:t>
            </w:r>
          </w:p>
        </w:tc>
        <w:tc>
          <w:tcPr>
            <w:tcW w:type="dxa" w:w="3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Renewal, save-motion and pilot-to-paid playbooks with dates, owners, risks and next actions.</w:t>
            </w:r>
          </w:p>
        </w:tc>
        <w:tc>
          <w:tcPr>
            <w:tcW w:type="dxa" w:w="37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Made commercial exposure and dependencies explicit before the renewal event.</w:t>
            </w:r>
          </w:p>
        </w:tc>
      </w:tr>
      <w:tr>
        <w:trPr>
          <w:cantSplit/>
        </w:trPr>
        <w:tc>
          <w:tcPr>
            <w:tcW w:type="dxa" w:w="17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Product feedback</w:t>
            </w:r>
          </w:p>
        </w:tc>
        <w:tc>
          <w:tcPr>
            <w:tcW w:type="dxa" w:w="3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Weekly category-based review and recurring-pattern analysis across accounts.</w:t>
            </w:r>
          </w:p>
        </w:tc>
        <w:tc>
          <w:tcPr>
            <w:tcW w:type="dxa" w:w="37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Turned individual complaints into portfolio-level evidence for Product and Engineering.</w:t>
            </w:r>
          </w:p>
        </w:tc>
      </w:tr>
    </w:tbl>
    <w:p>
      <w:pPr>
        <w:keepNext w:val="0"/>
        <w:widowControl/>
        <w:spacing w:before="0" w:after="40" w:line="264" w:lineRule="auto"/>
      </w:pPr>
    </w:p>
    <w:p>
      <w:pPr>
        <w:pStyle w:val="Heading2"/>
        <w:keepNext/>
        <w:widowControl/>
      </w:pPr>
      <w:r>
        <w:t>What implementation looked like in practice</w:t>
      </w:r>
    </w:p>
    <w:p>
      <w:pPr>
        <w:pStyle w:val="ListBullet"/>
        <w:keepNext w:val="0"/>
        <w:widowControl/>
        <w:spacing w:before="0" w:after="100" w:line="264" w:lineRule="auto"/>
      </w:pPr>
      <w:r>
        <w:rPr>
          <w:rFonts w:ascii="Calibri" w:hAnsi="Calibri"/>
          <w:b w:val="0"/>
          <w:i w:val="0"/>
          <w:color w:val="222222"/>
          <w:sz w:val="22"/>
        </w:rPr>
        <w:t>Accounts without captured success criteria were moved toward written success definitions and campaign-specific measurement plans.</w:t>
      </w:r>
    </w:p>
    <w:p>
      <w:pPr>
        <w:pStyle w:val="ListBullet"/>
        <w:keepNext w:val="0"/>
        <w:widowControl/>
        <w:spacing w:before="0" w:after="100" w:line="264" w:lineRule="auto"/>
      </w:pPr>
      <w:r>
        <w:rPr>
          <w:rFonts w:ascii="Calibri" w:hAnsi="Calibri"/>
          <w:b w:val="0"/>
          <w:i w:val="0"/>
          <w:color w:val="222222"/>
          <w:sz w:val="22"/>
        </w:rPr>
        <w:t>Distressed or never-launched accounts received structured reset plans rather than indefinite general training.</w:t>
      </w:r>
    </w:p>
    <w:p>
      <w:pPr>
        <w:pStyle w:val="ListBullet"/>
        <w:keepNext w:val="0"/>
        <w:widowControl/>
        <w:spacing w:before="0" w:after="100" w:line="264" w:lineRule="auto"/>
      </w:pPr>
      <w:r>
        <w:rPr>
          <w:rFonts w:ascii="Calibri" w:hAnsi="Calibri"/>
          <w:b w:val="0"/>
          <w:i w:val="0"/>
          <w:color w:val="222222"/>
          <w:sz w:val="22"/>
        </w:rPr>
        <w:t>Recurring product symptoms were documented with reproduction evidence and, where possible, verified from the customer side before closure.</w:t>
      </w:r>
    </w:p>
    <w:p>
      <w:pPr>
        <w:pStyle w:val="ListBullet"/>
        <w:keepNext w:val="0"/>
        <w:widowControl/>
        <w:spacing w:before="0" w:after="100" w:line="264" w:lineRule="auto"/>
      </w:pPr>
      <w:r>
        <w:rPr>
          <w:rFonts w:ascii="Calibri" w:hAnsi="Calibri"/>
          <w:b w:val="0"/>
          <w:i w:val="0"/>
          <w:color w:val="222222"/>
          <w:sz w:val="22"/>
        </w:rPr>
        <w:t>Commercial dates, renewal exposure, dormant entitlement and budget risk were manually surfaced where internal reporting had not exposed them.</w:t>
      </w:r>
    </w:p>
    <w:p>
      <w:pPr>
        <w:pStyle w:val="ListBullet"/>
        <w:keepNext w:val="0"/>
        <w:widowControl/>
        <w:spacing w:before="0" w:after="100" w:line="264" w:lineRule="auto"/>
      </w:pPr>
      <w:r>
        <w:rPr>
          <w:rFonts w:ascii="Calibri" w:hAnsi="Calibri"/>
          <w:b w:val="0"/>
          <w:i w:val="0"/>
          <w:color w:val="222222"/>
          <w:sz w:val="22"/>
        </w:rPr>
        <w:t>Customer-specific campaign inputs, brand tone, deliverability constraints and approval standards were converted into written operating artefacts.</w:t>
      </w:r>
    </w:p>
    <w:p>
      <w:pPr>
        <w:pStyle w:val="ListBullet"/>
        <w:keepNext w:val="0"/>
        <w:widowControl/>
        <w:spacing w:before="0" w:after="100" w:line="264" w:lineRule="auto"/>
      </w:pPr>
      <w:r>
        <w:rPr>
          <w:rFonts w:ascii="Calibri" w:hAnsi="Calibri"/>
          <w:b w:val="0"/>
          <w:i w:val="0"/>
          <w:color w:val="222222"/>
          <w:sz w:val="22"/>
        </w:rPr>
        <w:t>Cross-account patterns became visible across authentication, ingestion, deliverability, reporting and user-state friction, allowing the business to see system issues rather than isolated complaints.</w:t>
      </w:r>
    </w:p>
    <w:p>
      <w:pPr>
        <w:pStyle w:val="Heading1"/>
        <w:keepNext/>
        <w:widowControl/>
      </w:pPr>
      <w:r>
        <w:t>8. The resulting operating state</w:t>
      </w:r>
    </w:p>
    <w:p>
      <w:pPr>
        <w:keepNext w:val="0"/>
        <w:widowControl/>
        <w:spacing w:before="0" w:after="120" w:line="264" w:lineRule="auto"/>
      </w:pPr>
      <w:r>
        <w:rPr>
          <w:rFonts w:ascii="Calibri" w:hAnsi="Calibri"/>
          <w:b w:val="0"/>
          <w:i w:val="0"/>
          <w:color w:val="222222"/>
          <w:sz w:val="22"/>
        </w:rPr>
        <w:t>The engagement produced observable operational results: new controls, assets and decision mechanisms were implemented and used. Because a complete renewal and post-implementation measurement cycle was not finished, the longer-term commercial effect has been modelled using the assessed portfolio and clearly stated assumptions.</w:t>
      </w:r>
    </w:p>
    <w:tbl>
      <w:tblPr>
        <w:tblStyle w:val="TableGrid"/>
        <w:tblW w:type="dxa" w:w="9360"/>
        <w:jc w:val="left"/>
        <w:tblLayout w:type="fixed"/>
        <w:tblLook w:firstColumn="1" w:firstRow="1" w:lastColumn="0" w:lastRow="0" w:noHBand="0" w:noVBand="1" w:val="04A0"/>
        <w:tblInd w:w="120" w:type="dxa"/>
      </w:tblPr>
      <w:tblGrid>
        <w:gridCol w:w="1700"/>
        <w:gridCol w:w="3720"/>
        <w:gridCol w:w="3940"/>
      </w:tblGrid>
      <w:tr>
        <w:trPr>
          <w:tblHeader w:val="true"/>
          <w:cantSplit/>
        </w:trPr>
        <w:tc>
          <w:tcPr>
            <w:tcW w:type="dxa" w:w="17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Area</w:t>
            </w:r>
          </w:p>
        </w:tc>
        <w:tc>
          <w:tcPr>
            <w:tcW w:type="dxa" w:w="372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Observed baseline</w:t>
            </w:r>
          </w:p>
        </w:tc>
        <w:tc>
          <w:tcPr>
            <w:tcW w:type="dxa" w:w="394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Implemented operating state</w:t>
            </w:r>
          </w:p>
        </w:tc>
      </w:tr>
      <w:tr>
        <w:trPr>
          <w:cantSplit/>
        </w:trPr>
        <w:tc>
          <w:tcPr>
            <w:tcW w:type="dxa" w:w="17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Commercial handover</w:t>
            </w:r>
          </w:p>
        </w:tc>
        <w:tc>
          <w:tcPr>
            <w:tcW w:type="dxa" w:w="372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Context often scattered across conversations and individual knowledge</w:t>
            </w:r>
          </w:p>
        </w:tc>
        <w:tc>
          <w:tcPr>
            <w:tcW w:type="dxa" w:w="394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 defined lifecycle and handover logic with clearer inputs, owners and customer conditions</w:t>
            </w:r>
          </w:p>
        </w:tc>
      </w:tr>
      <w:tr>
        <w:trPr>
          <w:cantSplit/>
        </w:trPr>
        <w:tc>
          <w:tcPr>
            <w:tcW w:type="dxa" w:w="17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Onboarding</w:t>
            </w:r>
          </w:p>
        </w:tc>
        <w:tc>
          <w:tcPr>
            <w:tcW w:type="dxa" w:w="372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Open-ended, account-dependent and inconsistently documented</w:t>
            </w:r>
          </w:p>
        </w:tc>
        <w:tc>
          <w:tcPr>
            <w:tcW w:type="dxa" w:w="394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Reusable handbook, account plans, readiness checks and an activation target</w:t>
            </w:r>
          </w:p>
        </w:tc>
      </w:tr>
      <w:tr>
        <w:trPr>
          <w:cantSplit/>
        </w:trPr>
        <w:tc>
          <w:tcPr>
            <w:tcW w:type="dxa" w:w="17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Customer health</w:t>
            </w:r>
          </w:p>
        </w:tc>
        <w:tc>
          <w:tcPr>
            <w:tcW w:type="dxa" w:w="372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Risk recognised through individual judgement</w:t>
            </w:r>
          </w:p>
        </w:tc>
        <w:tc>
          <w:tcPr>
            <w:tcW w:type="dxa" w:w="394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RAG health view supported by structured adoption, delivery, stakeholder and commercial indicators</w:t>
            </w:r>
          </w:p>
        </w:tc>
      </w:tr>
      <w:tr>
        <w:trPr>
          <w:cantSplit/>
        </w:trPr>
        <w:tc>
          <w:tcPr>
            <w:tcW w:type="dxa" w:w="17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Issue management</w:t>
            </w:r>
          </w:p>
        </w:tc>
        <w:tc>
          <w:tcPr>
            <w:tcW w:type="dxa" w:w="372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Ad-hoc reporting and recurrent symptoms</w:t>
            </w:r>
          </w:p>
        </w:tc>
        <w:tc>
          <w:tcPr>
            <w:tcW w:type="dxa" w:w="394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Categorised issues, reproduction evidence, escalation discipline and stronger closure validation</w:t>
            </w:r>
          </w:p>
        </w:tc>
      </w:tr>
      <w:tr>
        <w:trPr>
          <w:cantSplit/>
        </w:trPr>
        <w:tc>
          <w:tcPr>
            <w:tcW w:type="dxa" w:w="17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Adoption</w:t>
            </w:r>
          </w:p>
        </w:tc>
        <w:tc>
          <w:tcPr>
            <w:tcW w:type="dxa" w:w="372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Usage discussed without a consistent outcome contract</w:t>
            </w:r>
          </w:p>
        </w:tc>
        <w:tc>
          <w:tcPr>
            <w:tcW w:type="dxa" w:w="394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Success criteria, campaign plans, review cadence and customer-specific measures</w:t>
            </w:r>
          </w:p>
        </w:tc>
      </w:tr>
      <w:tr>
        <w:trPr>
          <w:cantSplit/>
        </w:trPr>
        <w:tc>
          <w:tcPr>
            <w:tcW w:type="dxa" w:w="17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Value evidence</w:t>
            </w:r>
          </w:p>
        </w:tc>
        <w:tc>
          <w:tcPr>
            <w:tcW w:type="dxa" w:w="372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Manually reconstructed late in the lifecycle</w:t>
            </w:r>
          </w:p>
        </w:tc>
        <w:tc>
          <w:tcPr>
            <w:tcW w:type="dxa" w:w="394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Success plans, QBR evidence and measurement guides created earlier in the journey</w:t>
            </w:r>
          </w:p>
        </w:tc>
      </w:tr>
      <w:tr>
        <w:trPr>
          <w:cantSplit/>
        </w:trPr>
        <w:tc>
          <w:tcPr>
            <w:tcW w:type="dxa" w:w="17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Commercial risk</w:t>
            </w:r>
          </w:p>
        </w:tc>
        <w:tc>
          <w:tcPr>
            <w:tcW w:type="dxa" w:w="372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Renewal and budget exposure not consistently surfaced by systems</w:t>
            </w:r>
          </w:p>
        </w:tc>
        <w:tc>
          <w:tcPr>
            <w:tcW w:type="dxa" w:w="394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Dates, values, dependencies and save actions documented across the book</w:t>
            </w:r>
          </w:p>
        </w:tc>
      </w:tr>
      <w:tr>
        <w:trPr>
          <w:cantSplit/>
        </w:trPr>
        <w:tc>
          <w:tcPr>
            <w:tcW w:type="dxa" w:w="17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Product learning</w:t>
            </w:r>
          </w:p>
        </w:tc>
        <w:tc>
          <w:tcPr>
            <w:tcW w:type="dxa" w:w="372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Customer problems treated largely as individual events</w:t>
            </w:r>
          </w:p>
        </w:tc>
        <w:tc>
          <w:tcPr>
            <w:tcW w:type="dxa" w:w="394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Recurring themes grouped and fed into cross-functional prioritisation</w:t>
            </w:r>
          </w:p>
        </w:tc>
      </w:tr>
    </w:tbl>
    <w:p>
      <w:pPr>
        <w:keepNext w:val="0"/>
        <w:widowControl/>
        <w:spacing w:before="0" w:after="40" w:line="264" w:lineRule="auto"/>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10" w:type="dxa"/>
              <w:start w:w="130" w:type="dxa"/>
              <w:bottom w:w="110" w:type="dxa"/>
              <w:end w:w="130" w:type="dxa"/>
            </w:tcMar>
            <w:vAlign w:val="center"/>
            <w:shd w:fill="E5F3F1" w:val="clear"/>
          </w:tcPr>
          <w:p>
            <w:pPr>
              <w:keepNext w:val="0"/>
              <w:spacing w:before="0" w:after="40" w:line="264" w:lineRule="auto"/>
            </w:pPr>
            <w:r>
              <w:rPr>
                <w:rFonts w:ascii="Calibri" w:hAnsi="Calibri"/>
                <w:b/>
                <w:i w:val="0"/>
                <w:color w:val="188A8A"/>
                <w:sz w:val="18"/>
              </w:rPr>
              <w:t>VERIFIED RESULT</w:t>
            </w:r>
          </w:p>
          <w:p>
            <w:pPr>
              <w:keepNext w:val="0"/>
              <w:spacing w:before="0" w:after="0" w:line="269" w:lineRule="auto"/>
            </w:pPr>
            <w:r>
              <w:rPr>
                <w:rFonts w:ascii="Calibri" w:hAnsi="Calibri"/>
                <w:b/>
                <w:i w:val="0"/>
                <w:color w:val="0B2545"/>
                <w:sz w:val="22"/>
              </w:rPr>
              <w:t>The operating contribution was structural: the workflow became more explicit, instrumented and governable. Recorded movement included one defect-heavy account reaching a verified-stable QBR baseline and entering referral and expansion discussions; first written success criteria and recovery plans; customer-validated issue closure; and material five-figure risks surfaced before internal health reporting. These show improved visibility, control and decision readiness—not proven retention, revenue, ROI or bottom-line impact.</w:t>
            </w:r>
          </w:p>
        </w:tc>
      </w:tr>
    </w:tbl>
    <w:p>
      <w:pPr>
        <w:keepNext w:val="0"/>
        <w:widowControl/>
        <w:spacing w:before="0" w:after="40" w:line="264" w:lineRule="auto"/>
      </w:pPr>
    </w:p>
    <w:p>
      <w:pPr>
        <w:pStyle w:val="Heading1"/>
        <w:keepNext/>
        <w:widowControl/>
      </w:pPr>
      <w:r>
        <w:t>9. What was not measured</w:t>
      </w:r>
    </w:p>
    <w:p>
      <w:pPr>
        <w:keepNext w:val="0"/>
        <w:widowControl/>
        <w:spacing w:before="0" w:after="120" w:line="264" w:lineRule="auto"/>
      </w:pPr>
      <w:r>
        <w:rPr>
          <w:rFonts w:ascii="Calibri" w:hAnsi="Calibri"/>
          <w:b w:val="0"/>
          <w:i w:val="0"/>
          <w:color w:val="222222"/>
          <w:sz w:val="22"/>
        </w:rPr>
        <w:t>A credible case study must preserve the line between an implemented control and the business outcome that control is intended to influence. The observation period ended before the following measures could be established consistently:</w:t>
      </w:r>
    </w:p>
    <w:p>
      <w:pPr>
        <w:pStyle w:val="ListBullet"/>
        <w:keepNext w:val="0"/>
        <w:widowControl/>
        <w:spacing w:before="0" w:after="100" w:line="264" w:lineRule="auto"/>
      </w:pPr>
      <w:r>
        <w:rPr>
          <w:rFonts w:ascii="Calibri" w:hAnsi="Calibri"/>
          <w:b w:val="0"/>
          <w:i w:val="0"/>
          <w:color w:val="222222"/>
          <w:sz w:val="22"/>
        </w:rPr>
        <w:t>Net Revenue Retention or Gross Revenue Retention attributable to the intervention</w:t>
      </w:r>
    </w:p>
    <w:p>
      <w:pPr>
        <w:pStyle w:val="ListBullet"/>
        <w:keepNext w:val="0"/>
        <w:widowControl/>
        <w:spacing w:before="0" w:after="100" w:line="264" w:lineRule="auto"/>
      </w:pPr>
      <w:r>
        <w:rPr>
          <w:rFonts w:ascii="Calibri" w:hAnsi="Calibri"/>
          <w:b w:val="0"/>
          <w:i w:val="0"/>
          <w:color w:val="222222"/>
          <w:sz w:val="22"/>
        </w:rPr>
        <w:t>completed annual renewal and pilot-conversion outcomes across the portfolio</w:t>
      </w:r>
    </w:p>
    <w:p>
      <w:pPr>
        <w:pStyle w:val="ListBullet"/>
        <w:keepNext w:val="0"/>
        <w:widowControl/>
        <w:spacing w:before="0" w:after="100" w:line="264" w:lineRule="auto"/>
      </w:pPr>
      <w:r>
        <w:rPr>
          <w:rFonts w:ascii="Calibri" w:hAnsi="Calibri"/>
          <w:b w:val="0"/>
          <w:i w:val="0"/>
          <w:color w:val="222222"/>
          <w:sz w:val="22"/>
        </w:rPr>
        <w:t>reduction in time to first validated value</w:t>
      </w:r>
    </w:p>
    <w:p>
      <w:pPr>
        <w:pStyle w:val="ListBullet"/>
        <w:keepNext w:val="0"/>
        <w:widowControl/>
        <w:spacing w:before="0" w:after="100" w:line="264" w:lineRule="auto"/>
      </w:pPr>
      <w:r>
        <w:rPr>
          <w:rFonts w:ascii="Calibri" w:hAnsi="Calibri"/>
          <w:b w:val="0"/>
          <w:i w:val="0"/>
          <w:color w:val="222222"/>
          <w:sz w:val="22"/>
        </w:rPr>
        <w:t>change in manual intervention or rework hours</w:t>
      </w:r>
    </w:p>
    <w:p>
      <w:pPr>
        <w:pStyle w:val="ListBullet"/>
        <w:keepNext w:val="0"/>
        <w:widowControl/>
        <w:spacing w:before="0" w:after="100" w:line="264" w:lineRule="auto"/>
      </w:pPr>
      <w:r>
        <w:rPr>
          <w:rFonts w:ascii="Calibri" w:hAnsi="Calibri"/>
          <w:b w:val="0"/>
          <w:i w:val="0"/>
          <w:color w:val="222222"/>
          <w:sz w:val="22"/>
        </w:rPr>
        <w:t>change in first-pass output quality</w:t>
      </w:r>
    </w:p>
    <w:p>
      <w:pPr>
        <w:pStyle w:val="ListBullet"/>
        <w:keepNext w:val="0"/>
        <w:widowControl/>
        <w:spacing w:before="0" w:after="100" w:line="264" w:lineRule="auto"/>
      </w:pPr>
      <w:r>
        <w:rPr>
          <w:rFonts w:ascii="Calibri" w:hAnsi="Calibri"/>
          <w:b w:val="0"/>
          <w:i w:val="0"/>
          <w:color w:val="222222"/>
          <w:sz w:val="22"/>
        </w:rPr>
        <w:t>change in customer independence or support demand</w:t>
      </w:r>
    </w:p>
    <w:p>
      <w:pPr>
        <w:pStyle w:val="ListBullet"/>
        <w:keepNext w:val="0"/>
        <w:widowControl/>
        <w:spacing w:before="0" w:after="100" w:line="264" w:lineRule="auto"/>
      </w:pPr>
      <w:r>
        <w:rPr>
          <w:rFonts w:ascii="Calibri" w:hAnsi="Calibri"/>
          <w:b w:val="0"/>
          <w:i w:val="0"/>
          <w:color w:val="222222"/>
          <w:sz w:val="22"/>
        </w:rPr>
        <w:t>cost-to-serve reduction or productivity gain</w:t>
      </w:r>
    </w:p>
    <w:p>
      <w:pPr>
        <w:pStyle w:val="ListBullet"/>
        <w:keepNext w:val="0"/>
        <w:widowControl/>
        <w:spacing w:before="0" w:after="100" w:line="264" w:lineRule="auto"/>
      </w:pPr>
      <w:r>
        <w:rPr>
          <w:rFonts w:ascii="Calibri" w:hAnsi="Calibri"/>
          <w:b w:val="0"/>
          <w:i w:val="0"/>
          <w:color w:val="222222"/>
          <w:sz w:val="22"/>
        </w:rPr>
        <w:t>incremental expansion revenue, customer lifetime value or profit contribution</w:t>
      </w:r>
    </w:p>
    <w:p>
      <w:pPr>
        <w:pStyle w:val="ListBullet"/>
        <w:keepNext w:val="0"/>
        <w:widowControl/>
        <w:spacing w:before="0" w:after="100" w:line="264" w:lineRule="auto"/>
      </w:pPr>
      <w:r>
        <w:rPr>
          <w:rFonts w:ascii="Calibri" w:hAnsi="Calibri"/>
          <w:b w:val="0"/>
          <w:i w:val="0"/>
          <w:color w:val="222222"/>
          <w:sz w:val="22"/>
        </w:rPr>
        <w:t>a post-implementation Autonomy Index score or numerical Theatre Gap</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10" w:type="dxa"/>
              <w:start w:w="130" w:type="dxa"/>
              <w:bottom w:w="110" w:type="dxa"/>
              <w:end w:w="130" w:type="dxa"/>
            </w:tcMar>
            <w:vAlign w:val="center"/>
            <w:shd w:fill="FCE8E6" w:val="clear"/>
          </w:tcPr>
          <w:p>
            <w:pPr>
              <w:keepNext w:val="0"/>
              <w:spacing w:before="0" w:after="40" w:line="264" w:lineRule="auto"/>
            </w:pPr>
            <w:r>
              <w:rPr>
                <w:rFonts w:ascii="Calibri" w:hAnsi="Calibri"/>
                <w:b/>
                <w:i w:val="0"/>
                <w:color w:val="9B1C1C"/>
                <w:sz w:val="18"/>
              </w:rPr>
              <w:t>MODELLED COMMERCIAL POTENTIAL</w:t>
            </w:r>
          </w:p>
          <w:p>
            <w:pPr>
              <w:keepNext w:val="0"/>
              <w:spacing w:before="0" w:after="0" w:line="269" w:lineRule="auto"/>
            </w:pPr>
            <w:r>
              <w:rPr>
                <w:rFonts w:ascii="Calibri" w:hAnsi="Calibri"/>
                <w:b/>
                <w:i w:val="0"/>
                <w:color w:val="0B2545"/>
                <w:sz w:val="22"/>
              </w:rPr>
              <w:t>Modelled commercial potential. The operational changes were implemented and observed. The projected financial impact is modelled from the assessed portfolio and stated assumptions.</w:t>
            </w:r>
          </w:p>
        </w:tc>
      </w:tr>
    </w:tbl>
    <w:p>
      <w:pPr>
        <w:keepNext w:val="0"/>
        <w:widowControl/>
        <w:spacing w:before="0" w:after="40" w:line="264" w:lineRule="auto"/>
      </w:pPr>
    </w:p>
    <w:p>
      <w:pPr>
        <w:widowControl/>
      </w:pPr>
      <w:r>
        <w:br w:type="page"/>
      </w:r>
    </w:p>
    <w:p>
      <w:pPr>
        <w:pStyle w:val="Heading1"/>
        <w:keepNext/>
        <w:widowControl/>
      </w:pPr>
      <w:r>
        <w:t>10. What the framework would recommend next</w:t>
      </w:r>
    </w:p>
    <w:p>
      <w:pPr>
        <w:keepNext w:val="0"/>
        <w:widowControl/>
        <w:spacing w:before="0" w:after="120" w:line="264" w:lineRule="auto"/>
      </w:pPr>
      <w:r>
        <w:rPr>
          <w:rFonts w:ascii="Calibri" w:hAnsi="Calibri"/>
          <w:b w:val="0"/>
          <w:i w:val="0"/>
          <w:color w:val="222222"/>
          <w:sz w:val="22"/>
        </w:rPr>
        <w:t>Had the company remained operational, the next phase would have been to convert the newly structured human operating layer into measurable, bounded system capability. The objective would not have been maximum automation. It would have been dependable delegation with explicit evidence and safe failure paths.</w:t>
      </w:r>
    </w:p>
    <w:tbl>
      <w:tblPr>
        <w:tblStyle w:val="TableGrid"/>
        <w:tblW w:type="dxa" w:w="9360"/>
        <w:jc w:val="left"/>
        <w:tblLayout w:type="fixed"/>
        <w:tblLook w:firstColumn="1" w:firstRow="1" w:lastColumn="0" w:lastRow="0" w:noHBand="0" w:noVBand="1" w:val="04A0"/>
        <w:tblInd w:w="120" w:type="dxa"/>
      </w:tblPr>
      <w:tblGrid>
        <w:gridCol w:w="900"/>
        <w:gridCol w:w="1900"/>
        <w:gridCol w:w="3080"/>
        <w:gridCol w:w="3480"/>
      </w:tblGrid>
      <w:tr>
        <w:trPr>
          <w:tblHeader w:val="true"/>
          <w:cantSplit/>
        </w:trPr>
        <w:tc>
          <w:tcPr>
            <w:tcW w:type="dxa" w:w="9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Level</w:t>
            </w:r>
          </w:p>
        </w:tc>
        <w:tc>
          <w:tcPr>
            <w:tcW w:type="dxa" w:w="19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Maturity state</w:t>
            </w:r>
          </w:p>
        </w:tc>
        <w:tc>
          <w:tcPr>
            <w:tcW w:type="dxa" w:w="308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Meaning</w:t>
            </w:r>
          </w:p>
        </w:tc>
        <w:tc>
          <w:tcPr>
            <w:tcW w:type="dxa" w:w="348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Case-study position</w:t>
            </w:r>
          </w:p>
        </w:tc>
      </w:tr>
      <w:tr>
        <w:trPr>
          <w:cantSplit/>
        </w:trPr>
        <w:tc>
          <w:tcPr>
            <w:tcW w:type="dxa" w:w="9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Level 1</w:t>
            </w:r>
          </w:p>
        </w:tc>
        <w:tc>
          <w:tcPr>
            <w:tcW w:type="dxa" w:w="1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AI Theatre</w:t>
            </w:r>
          </w:p>
        </w:tc>
        <w:tc>
          <w:tcPr>
            <w:tcW w:type="dxa" w:w="308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Visible AI activity without embedded value</w:t>
            </w:r>
          </w:p>
        </w:tc>
        <w:tc>
          <w:tcPr>
            <w:tcW w:type="dxa" w:w="348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Not the dominant whole-workflow state; genuine automation already existed</w:t>
            </w:r>
          </w:p>
        </w:tc>
      </w:tr>
      <w:tr>
        <w:trPr>
          <w:cantSplit/>
        </w:trPr>
        <w:tc>
          <w:tcPr>
            <w:tcW w:type="dxa" w:w="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Level 2</w:t>
            </w:r>
          </w:p>
        </w:tc>
        <w:tc>
          <w:tcPr>
            <w:tcW w:type="dxa" w:w="1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Fragmented Pilots</w:t>
            </w:r>
          </w:p>
        </w:tc>
        <w:tc>
          <w:tcPr>
            <w:tcW w:type="dxa" w:w="308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Real use in disconnected, champion-dependent pockets</w:t>
            </w:r>
          </w:p>
        </w:tc>
        <w:tc>
          <w:tcPr>
            <w:tcW w:type="dxa" w:w="348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Indicative baseline for the scoped customer workflow</w:t>
            </w:r>
          </w:p>
        </w:tc>
      </w:tr>
      <w:tr>
        <w:trPr>
          <w:cantSplit/>
        </w:trPr>
        <w:tc>
          <w:tcPr>
            <w:tcW w:type="dxa" w:w="9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Level 3</w:t>
            </w:r>
          </w:p>
        </w:tc>
        <w:tc>
          <w:tcPr>
            <w:tcW w:type="dxa" w:w="1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Functional Adoption</w:t>
            </w:r>
          </w:p>
        </w:tc>
        <w:tc>
          <w:tcPr>
            <w:tcW w:type="dxa" w:w="308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AI works in defined workflows but trust and override remain uneven</w:t>
            </w:r>
          </w:p>
        </w:tc>
        <w:tc>
          <w:tcPr>
            <w:tcW w:type="dxa" w:w="348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Operating controls introduced; formal re-assessment still required</w:t>
            </w:r>
          </w:p>
        </w:tc>
      </w:tr>
      <w:tr>
        <w:trPr>
          <w:cantSplit/>
        </w:trPr>
        <w:tc>
          <w:tcPr>
            <w:tcW w:type="dxa" w:w="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Level 4</w:t>
            </w:r>
          </w:p>
        </w:tc>
        <w:tc>
          <w:tcPr>
            <w:tcW w:type="dxa" w:w="19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Operational Integration</w:t>
            </w:r>
          </w:p>
        </w:tc>
        <w:tc>
          <w:tcPr>
            <w:tcW w:type="dxa" w:w="308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AI embedded and trusted within boundaries; measurable execution improvement</w:t>
            </w:r>
          </w:p>
        </w:tc>
        <w:tc>
          <w:tcPr>
            <w:tcW w:type="dxa" w:w="348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Would require telemetry, outcome attribution, calibrated review and cross-system integration</w:t>
            </w:r>
          </w:p>
        </w:tc>
      </w:tr>
      <w:tr>
        <w:trPr>
          <w:cantSplit/>
        </w:trPr>
        <w:tc>
          <w:tcPr>
            <w:tcW w:type="dxa" w:w="9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Level 5</w:t>
            </w:r>
          </w:p>
        </w:tc>
        <w:tc>
          <w:tcPr>
            <w:tcW w:type="dxa" w:w="19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Operational Autonomy</w:t>
            </w:r>
          </w:p>
        </w:tc>
        <w:tc>
          <w:tcPr>
            <w:tcW w:type="dxa" w:w="308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AI acts as a dependable governed operating layer</w:t>
            </w:r>
          </w:p>
        </w:tc>
        <w:tc>
          <w:tcPr>
            <w:tcW w:type="dxa" w:w="348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Long-term possibility, not an automatic or universal target</w:t>
            </w:r>
          </w:p>
        </w:tc>
      </w:tr>
    </w:tbl>
    <w:p>
      <w:pPr>
        <w:keepNext w:val="0"/>
        <w:widowControl/>
        <w:spacing w:before="0" w:after="40" w:line="264" w:lineRule="auto"/>
      </w:pPr>
    </w:p>
    <w:p>
      <w:pPr>
        <w:pStyle w:val="Heading2"/>
        <w:keepNext/>
        <w:widowControl/>
      </w:pPr>
      <w:r>
        <w:t>Priority roadmap</w:t>
      </w:r>
    </w:p>
    <w:tbl>
      <w:tblPr>
        <w:tblStyle w:val="TableGrid"/>
        <w:tblW w:type="dxa" w:w="9360"/>
        <w:jc w:val="left"/>
        <w:tblLayout w:type="fixed"/>
        <w:tblLook w:firstColumn="1" w:firstRow="1" w:lastColumn="0" w:lastRow="0" w:noHBand="0" w:noVBand="1" w:val="04A0"/>
        <w:tblInd w:w="120" w:type="dxa"/>
      </w:tblPr>
      <w:tblGrid>
        <w:gridCol w:w="2500"/>
        <w:gridCol w:w="6860"/>
      </w:tblGrid>
      <w:tr>
        <w:trPr>
          <w:tblHeader w:val="true"/>
          <w:cantSplit/>
        </w:trPr>
        <w:tc>
          <w:tcPr>
            <w:tcW w:type="dxa" w:w="25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Priority</w:t>
            </w:r>
          </w:p>
        </w:tc>
        <w:tc>
          <w:tcPr>
            <w:tcW w:type="dxa" w:w="686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Required action</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1. Instrument the workflow</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Connect product telemetry, CRM status, issue data and customer outcomes so activity, exception and value evidence can be traced end to end.</w:t>
            </w:r>
          </w:p>
        </w:tc>
      </w:tr>
      <w:tr>
        <w:trPr>
          <w:cantSplit/>
        </w:trPr>
        <w:tc>
          <w:tcPr>
            <w:tcW w:type="dxa" w:w="2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2. Define acceptance standards</w:t>
            </w:r>
          </w:p>
        </w:tc>
        <w:tc>
          <w:tcPr>
            <w:tcW w:type="dxa" w:w="68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Specify what an acceptable output looks like by use case, who approves it, and when human review can safely be reduced.</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3. Automate exception visibility</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Detect failed ingestion, abnormal activity drops, repeated authentication failure and unresolved customer symptoms before they become renewal surprises.</w:t>
            </w:r>
          </w:p>
        </w:tc>
      </w:tr>
      <w:tr>
        <w:trPr>
          <w:cantSplit/>
        </w:trPr>
        <w:tc>
          <w:tcPr>
            <w:tcW w:type="dxa" w:w="2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4. Govern ownership and closure</w:t>
            </w:r>
          </w:p>
        </w:tc>
        <w:tc>
          <w:tcPr>
            <w:tcW w:type="dxa" w:w="68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Name the owner for each failure path; require evidence and customer validation for material issue closure.</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5. Measure human dependence</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Track intervention rate, rework, override behaviour, time-to-resolution and self-service completion where self-service is an appropriate goal.</w:t>
            </w:r>
          </w:p>
        </w:tc>
      </w:tr>
      <w:tr>
        <w:trPr>
          <w:cantSplit/>
        </w:trPr>
        <w:tc>
          <w:tcPr>
            <w:tcW w:type="dxa" w:w="2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6. Link activity to outcomes</w:t>
            </w:r>
          </w:p>
        </w:tc>
        <w:tc>
          <w:tcPr>
            <w:tcW w:type="dxa" w:w="68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Agree customer-level success measures at handover and preserve the evidence through QBR and renewal decision points.</w:t>
            </w:r>
          </w:p>
        </w:tc>
      </w:tr>
      <w:tr>
        <w:trPr>
          <w:cantSplit/>
        </w:trPr>
        <w:tc>
          <w:tcPr>
            <w:tcW w:type="dxa" w:w="25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7. Re-assess</w:t>
            </w:r>
          </w:p>
        </w:tc>
        <w:tc>
          <w:tcPr>
            <w:tcW w:type="dxa" w:w="68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Collect leadership, front-line and operational evidence; calculate the indicative score, maturity band, primary constraint and Theatre Gap.</w:t>
            </w:r>
          </w:p>
        </w:tc>
      </w:tr>
    </w:tbl>
    <w:p>
      <w:pPr>
        <w:keepNext w:val="0"/>
        <w:widowControl/>
        <w:spacing w:before="0" w:after="40" w:line="264" w:lineRule="auto"/>
      </w:pPr>
    </w:p>
    <w:p>
      <w:pPr>
        <w:pStyle w:val="Heading2"/>
        <w:keepNext/>
        <w:widowControl/>
      </w:pPr>
      <w:r>
        <w:t>Measurement plan</w:t>
      </w:r>
    </w:p>
    <w:tbl>
      <w:tblPr>
        <w:tblStyle w:val="TableGrid"/>
        <w:tblW w:type="dxa" w:w="9360"/>
        <w:jc w:val="left"/>
        <w:tblLayout w:type="fixed"/>
        <w:tblLook w:firstColumn="1" w:firstRow="1" w:lastColumn="0" w:lastRow="0" w:noHBand="0" w:noVBand="1" w:val="04A0"/>
        <w:tblInd w:w="120" w:type="dxa"/>
      </w:tblPr>
      <w:tblGrid>
        <w:gridCol w:w="2200"/>
        <w:gridCol w:w="3500"/>
        <w:gridCol w:w="3660"/>
      </w:tblGrid>
      <w:tr>
        <w:trPr>
          <w:tblHeader w:val="true"/>
          <w:cantSplit/>
        </w:trPr>
        <w:tc>
          <w:tcPr>
            <w:tcW w:type="dxa" w:w="22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Metric</w:t>
            </w:r>
          </w:p>
        </w:tc>
        <w:tc>
          <w:tcPr>
            <w:tcW w:type="dxa" w:w="350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Definition</w:t>
            </w:r>
          </w:p>
        </w:tc>
        <w:tc>
          <w:tcPr>
            <w:tcW w:type="dxa" w:w="366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Decision value</w:t>
            </w:r>
          </w:p>
        </w:tc>
      </w:tr>
      <w:tr>
        <w:trPr>
          <w:cantSplit/>
        </w:trPr>
        <w:tc>
          <w:tcPr>
            <w:tcW w:type="dxa" w:w="22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Manual intervention rate</w:t>
            </w:r>
          </w:p>
        </w:tc>
        <w:tc>
          <w:tcPr>
            <w:tcW w:type="dxa" w:w="35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Human corrections or recoveries per completed AI workflow</w:t>
            </w:r>
          </w:p>
        </w:tc>
        <w:tc>
          <w:tcPr>
            <w:tcW w:type="dxa" w:w="36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Shows whether AI is absorbing work or merely generating more review</w:t>
            </w:r>
          </w:p>
        </w:tc>
      </w:tr>
      <w:tr>
        <w:trPr>
          <w:cantSplit/>
        </w:trPr>
        <w:tc>
          <w:tcPr>
            <w:tcW w:type="dxa" w:w="22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First-pass acceptance</w:t>
            </w:r>
          </w:p>
        </w:tc>
        <w:tc>
          <w:tcPr>
            <w:tcW w:type="dxa" w:w="3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Outputs meeting predefined acceptance criteria without rework</w:t>
            </w:r>
          </w:p>
        </w:tc>
        <w:tc>
          <w:tcPr>
            <w:tcW w:type="dxa" w:w="36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Measures trusted quality; avoids the meaningless standard of 'perfect'</w:t>
            </w:r>
          </w:p>
        </w:tc>
      </w:tr>
      <w:tr>
        <w:trPr>
          <w:cantSplit/>
        </w:trPr>
        <w:tc>
          <w:tcPr>
            <w:tcW w:type="dxa" w:w="22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Exception detection</w:t>
            </w:r>
          </w:p>
        </w:tc>
        <w:tc>
          <w:tcPr>
            <w:tcW w:type="dxa" w:w="35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Proportion of material failures detected before the customer reports them</w:t>
            </w:r>
          </w:p>
        </w:tc>
        <w:tc>
          <w:tcPr>
            <w:tcW w:type="dxa" w:w="36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Tests whether the system can monitor its own operating boundary</w:t>
            </w:r>
          </w:p>
        </w:tc>
      </w:tr>
      <w:tr>
        <w:trPr>
          <w:cantSplit/>
        </w:trPr>
        <w:tc>
          <w:tcPr>
            <w:tcW w:type="dxa" w:w="22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Rework hours</w:t>
            </w:r>
          </w:p>
        </w:tc>
        <w:tc>
          <w:tcPr>
            <w:tcW w:type="dxa" w:w="3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CS and Engineering time spent repairing or rerunning customer workflows</w:t>
            </w:r>
          </w:p>
        </w:tc>
        <w:tc>
          <w:tcPr>
            <w:tcW w:type="dxa" w:w="36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Quantifies hidden human scaffolding and cost-to-serve</w:t>
            </w:r>
          </w:p>
        </w:tc>
      </w:tr>
      <w:tr>
        <w:trPr>
          <w:cantSplit/>
        </w:trPr>
        <w:tc>
          <w:tcPr>
            <w:tcW w:type="dxa" w:w="22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Time to validated value</w:t>
            </w:r>
          </w:p>
        </w:tc>
        <w:tc>
          <w:tcPr>
            <w:tcW w:type="dxa" w:w="35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Days from readiness-confirmed handover to customer-approved outcome evidence</w:t>
            </w:r>
          </w:p>
        </w:tc>
        <w:tc>
          <w:tcPr>
            <w:tcW w:type="dxa" w:w="36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Separates rapid activation from meaningful value</w:t>
            </w:r>
          </w:p>
        </w:tc>
      </w:tr>
      <w:tr>
        <w:trPr>
          <w:cantSplit/>
        </w:trPr>
        <w:tc>
          <w:tcPr>
            <w:tcW w:type="dxa" w:w="22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Champion concentration</w:t>
            </w:r>
          </w:p>
        </w:tc>
        <w:tc>
          <w:tcPr>
            <w:tcW w:type="dxa" w:w="350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Share of activity and knowledge held by one operator</w:t>
            </w:r>
          </w:p>
        </w:tc>
        <w:tc>
          <w:tcPr>
            <w:tcW w:type="dxa" w:w="366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Identifies adoption fragility and single-person dependency</w:t>
            </w:r>
          </w:p>
        </w:tc>
      </w:tr>
      <w:tr>
        <w:trPr>
          <w:cantSplit/>
        </w:trPr>
        <w:tc>
          <w:tcPr>
            <w:tcW w:type="dxa" w:w="220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7"/>
              </w:rPr>
              <w:t>Traceability coverage</w:t>
            </w:r>
          </w:p>
        </w:tc>
        <w:tc>
          <w:tcPr>
            <w:tcW w:type="dxa" w:w="350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Share of material AI actions with inputs, outputs, owners and decisions recorded</w:t>
            </w:r>
          </w:p>
        </w:tc>
        <w:tc>
          <w:tcPr>
            <w:tcW w:type="dxa" w:w="366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7"/>
              </w:rPr>
              <w:t>Measures governance and audit readiness</w:t>
            </w:r>
          </w:p>
        </w:tc>
      </w:tr>
    </w:tbl>
    <w:p>
      <w:pPr>
        <w:keepNext w:val="0"/>
        <w:widowControl/>
        <w:spacing w:before="0" w:after="40" w:line="264" w:lineRule="auto"/>
      </w:pPr>
    </w:p>
    <w:p>
      <w:pPr>
        <w:pStyle w:val="Heading2"/>
        <w:keepNext/>
        <w:widowControl/>
      </w:pPr>
      <w:r>
        <w:t>Measurement discipline</w:t>
      </w:r>
    </w:p>
    <w:p>
      <w:pPr>
        <w:keepNext w:val="0"/>
        <w:widowControl/>
        <w:spacing w:before="0" w:after="120" w:line="264" w:lineRule="auto"/>
      </w:pPr>
      <w:r>
        <w:rPr>
          <w:rFonts w:ascii="Calibri" w:hAnsi="Calibri"/>
          <w:b w:val="0"/>
          <w:i w:val="0"/>
          <w:color w:val="222222"/>
          <w:sz w:val="22"/>
        </w:rPr>
        <w:t>A future application should establish the baseline before changing the controls and then observe at least one complete customer lifecycle. Operational improvement should count only where accepted output quality and customer outcome evidence remain stable or improve.</w:t>
      </w:r>
    </w:p>
    <w:p>
      <w:pPr>
        <w:pStyle w:val="ListBullet"/>
        <w:keepNext w:val="0"/>
        <w:widowControl/>
        <w:spacing w:before="0" w:after="100" w:line="264" w:lineRule="auto"/>
      </w:pPr>
      <w:r>
        <w:rPr>
          <w:rFonts w:ascii="Calibri" w:hAnsi="Calibri"/>
          <w:b w:val="0"/>
          <w:i w:val="0"/>
          <w:color w:val="222222"/>
          <w:sz w:val="22"/>
        </w:rPr>
        <w:t>segment intervention and quality measures by workflow, use case and customer context rather than relying on a portfolio average</w:t>
      </w:r>
    </w:p>
    <w:p>
      <w:pPr>
        <w:pStyle w:val="ListBullet"/>
        <w:keepNext w:val="0"/>
        <w:widowControl/>
        <w:spacing w:before="0" w:after="100" w:line="264" w:lineRule="auto"/>
      </w:pPr>
      <w:r>
        <w:rPr>
          <w:rFonts w:ascii="Calibri" w:hAnsi="Calibri"/>
          <w:b w:val="0"/>
          <w:i w:val="0"/>
          <w:color w:val="222222"/>
          <w:sz w:val="22"/>
        </w:rPr>
        <w:t>record the human time attached to review, recovery, coordination and evidence assembly so hidden cost-to-serve becomes visible</w:t>
      </w:r>
    </w:p>
    <w:p>
      <w:pPr>
        <w:pStyle w:val="ListBullet"/>
        <w:keepNext w:val="0"/>
        <w:widowControl/>
        <w:spacing w:before="0" w:after="100" w:line="264" w:lineRule="auto"/>
      </w:pPr>
      <w:r>
        <w:rPr>
          <w:rFonts w:ascii="Calibri" w:hAnsi="Calibri"/>
          <w:b w:val="0"/>
          <w:i w:val="0"/>
          <w:color w:val="222222"/>
          <w:sz w:val="22"/>
        </w:rPr>
        <w:t>pair every autonomy measure with a quality, risk or outcome measure to prevent speed from being mistaken for value</w:t>
      </w:r>
    </w:p>
    <w:p>
      <w:pPr>
        <w:pStyle w:val="ListBullet"/>
        <w:keepNext w:val="0"/>
        <w:widowControl/>
        <w:spacing w:before="0" w:after="100" w:line="264" w:lineRule="auto"/>
      </w:pPr>
      <w:r>
        <w:rPr>
          <w:rFonts w:ascii="Calibri" w:hAnsi="Calibri"/>
          <w:b w:val="0"/>
          <w:i w:val="0"/>
          <w:color w:val="222222"/>
          <w:sz w:val="22"/>
        </w:rPr>
        <w:t>retain the evidence behind each maturity decision so a later re-assessment can show what changed and why</w:t>
      </w:r>
    </w:p>
    <w:p>
      <w:pPr>
        <w:widowControl/>
      </w:pPr>
      <w:r>
        <w:br w:type="page"/>
      </w:r>
    </w:p>
    <w:p>
      <w:pPr>
        <w:pStyle w:val="Heading1"/>
        <w:keepNext/>
        <w:widowControl/>
      </w:pPr>
      <w:r>
        <w:t>11. How another organisation would apply the method</w:t>
      </w:r>
    </w:p>
    <w:p>
      <w:pPr>
        <w:keepNext w:val="0"/>
        <w:widowControl/>
        <w:spacing w:before="0" w:after="120" w:line="264" w:lineRule="auto"/>
      </w:pPr>
      <w:r>
        <w:rPr>
          <w:rFonts w:ascii="Calibri" w:hAnsi="Calibri"/>
          <w:b w:val="0"/>
          <w:i w:val="0"/>
          <w:color w:val="222222"/>
          <w:sz w:val="22"/>
        </w:rPr>
        <w:t>This case is transferable because the method does not depend on the company being an AI vendor. Any organisation deploying AI or AI agents into a real workflow can repeat the diagnostic.</w:t>
      </w:r>
    </w:p>
    <w:p>
      <w:pPr>
        <w:pStyle w:val="ListNumber"/>
        <w:keepNext w:val="0"/>
        <w:widowControl/>
        <w:spacing w:before="0" w:after="100" w:line="264" w:lineRule="auto"/>
      </w:pPr>
      <w:r>
        <w:rPr>
          <w:rFonts w:ascii="Calibri" w:hAnsi="Calibri"/>
          <w:b w:val="0"/>
          <w:i w:val="0"/>
          <w:color w:val="222222"/>
          <w:sz w:val="22"/>
        </w:rPr>
        <w:t>Scope one critical workflow with a clear trigger and end condition.</w:t>
      </w:r>
    </w:p>
    <w:p>
      <w:pPr>
        <w:pStyle w:val="ListNumber"/>
        <w:keepNext w:val="0"/>
        <w:widowControl/>
        <w:spacing w:before="0" w:after="100" w:line="264" w:lineRule="auto"/>
      </w:pPr>
      <w:r>
        <w:rPr>
          <w:rFonts w:ascii="Calibri" w:hAnsi="Calibri"/>
          <w:b w:val="0"/>
          <w:i w:val="0"/>
          <w:color w:val="222222"/>
          <w:sz w:val="22"/>
        </w:rPr>
        <w:t>Map every stage, system, owner, decision and exception path, including work happening outside official tools.</w:t>
      </w:r>
    </w:p>
    <w:p>
      <w:pPr>
        <w:pStyle w:val="ListNumber"/>
        <w:keepNext w:val="0"/>
        <w:widowControl/>
        <w:spacing w:before="0" w:after="100" w:line="264" w:lineRule="auto"/>
      </w:pPr>
      <w:r>
        <w:rPr>
          <w:rFonts w:ascii="Calibri" w:hAnsi="Calibri"/>
          <w:b w:val="0"/>
          <w:i w:val="0"/>
          <w:color w:val="222222"/>
          <w:sz w:val="22"/>
        </w:rPr>
        <w:t>Collect leadership input, front-line behavioural evidence and operational artefacts independently.</w:t>
      </w:r>
    </w:p>
    <w:p>
      <w:pPr>
        <w:pStyle w:val="ListNumber"/>
        <w:keepNext w:val="0"/>
        <w:widowControl/>
        <w:spacing w:before="0" w:after="100" w:line="264" w:lineRule="auto"/>
      </w:pPr>
      <w:r>
        <w:rPr>
          <w:rFonts w:ascii="Calibri" w:hAnsi="Calibri"/>
          <w:b w:val="0"/>
          <w:i w:val="0"/>
          <w:color w:val="222222"/>
          <w:sz w:val="22"/>
        </w:rPr>
        <w:t>Score the eight dimensions and report the maturity band before the indicative number.</w:t>
      </w:r>
    </w:p>
    <w:p>
      <w:pPr>
        <w:pStyle w:val="ListNumber"/>
        <w:keepNext w:val="0"/>
        <w:widowControl/>
        <w:spacing w:before="0" w:after="100" w:line="264" w:lineRule="auto"/>
      </w:pPr>
      <w:r>
        <w:rPr>
          <w:rFonts w:ascii="Calibri" w:hAnsi="Calibri"/>
          <w:b w:val="0"/>
          <w:i w:val="0"/>
          <w:color w:val="222222"/>
          <w:sz w:val="22"/>
        </w:rPr>
        <w:t>Calculate the Theatre Gap between stated maturity and operational evidence.</w:t>
      </w:r>
    </w:p>
    <w:p>
      <w:pPr>
        <w:pStyle w:val="ListNumber"/>
        <w:keepNext w:val="0"/>
        <w:widowControl/>
        <w:spacing w:before="0" w:after="100" w:line="264" w:lineRule="auto"/>
      </w:pPr>
      <w:r>
        <w:rPr>
          <w:rFonts w:ascii="Calibri" w:hAnsi="Calibri"/>
          <w:b w:val="0"/>
          <w:i w:val="0"/>
          <w:color w:val="222222"/>
          <w:sz w:val="22"/>
        </w:rPr>
        <w:t>Identify the weakest load-bearing dimension as the primary constraint.</w:t>
      </w:r>
    </w:p>
    <w:p>
      <w:pPr>
        <w:pStyle w:val="ListNumber"/>
        <w:keepNext w:val="0"/>
        <w:widowControl/>
        <w:spacing w:before="0" w:after="100" w:line="264" w:lineRule="auto"/>
      </w:pPr>
      <w:r>
        <w:rPr>
          <w:rFonts w:ascii="Calibri" w:hAnsi="Calibri"/>
          <w:b w:val="0"/>
          <w:i w:val="0"/>
          <w:color w:val="222222"/>
          <w:sz w:val="22"/>
        </w:rPr>
        <w:t>Design the smallest set of changes that improves that constraint without creating unmanaged autonomy.</w:t>
      </w:r>
    </w:p>
    <w:p>
      <w:pPr>
        <w:pStyle w:val="ListNumber"/>
        <w:keepNext w:val="0"/>
        <w:widowControl/>
        <w:spacing w:before="0" w:after="100" w:line="264" w:lineRule="auto"/>
      </w:pPr>
      <w:r>
        <w:rPr>
          <w:rFonts w:ascii="Calibri" w:hAnsi="Calibri"/>
          <w:b w:val="0"/>
          <w:i w:val="0"/>
          <w:color w:val="222222"/>
          <w:sz w:val="22"/>
        </w:rPr>
        <w:t>Re-measure after implementation using outcome, quality, intervention and governance evidence.</w:t>
      </w:r>
    </w:p>
    <w:p>
      <w:pPr>
        <w:pStyle w:val="Heading2"/>
        <w:keepNext/>
        <w:widowControl/>
      </w:pPr>
      <w:r>
        <w:t>The wider lesson</w:t>
      </w:r>
    </w:p>
    <w:p>
      <w:pPr>
        <w:keepNext w:val="0"/>
        <w:widowControl/>
        <w:spacing w:before="0" w:after="120" w:line="264" w:lineRule="auto"/>
      </w:pPr>
      <w:r>
        <w:rPr>
          <w:rFonts w:ascii="Calibri" w:hAnsi="Calibri"/>
          <w:b w:val="0"/>
          <w:i w:val="0"/>
          <w:color w:val="222222"/>
          <w:sz w:val="22"/>
        </w:rPr>
        <w:t>An organisation can be AI-native at the product layer and still be human-dependent at the operating-model layer. That is not a contradiction. It is the normal condition of an emerging technology whose capability has matured faster than the customer system around it.</w:t>
      </w:r>
    </w:p>
    <w:p>
      <w:pPr>
        <w:keepNext w:val="0"/>
        <w:widowControl/>
        <w:spacing w:before="0" w:after="120" w:line="264" w:lineRule="auto"/>
      </w:pPr>
      <w:r>
        <w:rPr>
          <w:rFonts w:ascii="Calibri" w:hAnsi="Calibri"/>
          <w:b w:val="0"/>
          <w:i w:val="0"/>
          <w:color w:val="222222"/>
          <w:sz w:val="22"/>
        </w:rPr>
        <w:t>The strategic mistake is to hide that dependence or call it temporary support. The better move is to measure it, decide which human interventions create value and which compensate for design gaps, and then convert the avoidable scaffolding into product capability, operating controls and evidence. That is the movement from AI activity to operational autonomy.</w:t>
      </w:r>
    </w:p>
    <w:p>
      <w:pPr>
        <w:widowControl/>
      </w:pPr>
      <w:r>
        <w:br w:type="page"/>
      </w:r>
    </w:p>
    <w:p>
      <w:pPr>
        <w:pStyle w:val="Heading1"/>
        <w:keepNext/>
        <w:widowControl/>
      </w:pPr>
      <w:r>
        <w:t>12. Methodology, evidence and disclosure</w:t>
      </w:r>
    </w:p>
    <w:p>
      <w:pPr>
        <w:keepNext w:val="0"/>
        <w:widowControl/>
        <w:spacing w:before="0" w:after="120" w:line="264" w:lineRule="auto"/>
      </w:pPr>
      <w:r>
        <w:rPr>
          <w:rFonts w:ascii="Calibri" w:hAnsi="Calibri"/>
          <w:b w:val="0"/>
          <w:i w:val="0"/>
          <w:color w:val="222222"/>
          <w:sz w:val="22"/>
        </w:rPr>
        <w:t>This is a de-identified retrospective practitioner case study based on firsthand operational experience and contemporaneous operating artefacts. The company and customer names are withheld, customer examples are aggregated, and selected commercial figures are rounded. The Autonomy Index™ was applied retrospectively to distinguish observed conditions, interventions completed during the engagement, indicative framework conclusions and recommended future controls.</w:t>
      </w:r>
    </w:p>
    <w:p>
      <w:pPr>
        <w:keepNext w:val="0"/>
        <w:widowControl/>
        <w:spacing w:before="0" w:after="120" w:line="264" w:lineRule="auto"/>
      </w:pPr>
      <w:r>
        <w:rPr>
          <w:rFonts w:ascii="Calibri" w:hAnsi="Calibri"/>
          <w:b w:val="0"/>
          <w:i w:val="0"/>
          <w:color w:val="222222"/>
          <w:sz w:val="22"/>
        </w:rPr>
        <w:t>This applied retrospective case study draws on firsthand operational experience, 33 account reviews, 30 detailed operational reviews or incident briefs, and contemporaneous customer, commercial and product evidence. The assessment reports a maturity band rather than a numerical score because the company ceased trading before a formal post-implementation reassessment could be completed.</w:t>
      </w:r>
    </w:p>
    <w:p>
      <w:pPr>
        <w:keepNext w:val="0"/>
        <w:widowControl/>
        <w:spacing w:before="0" w:after="120" w:line="264" w:lineRule="auto"/>
      </w:pPr>
      <w:r>
        <w:rPr>
          <w:rFonts w:ascii="Calibri" w:hAnsi="Calibri"/>
          <w:b w:val="0"/>
          <w:i w:val="0"/>
          <w:color w:val="222222"/>
          <w:sz w:val="22"/>
        </w:rPr>
        <w:t>No causal claim is made about the company’s commercial outcome, and no unmeasured financial, retention or productivity result is attributed to the intervention.</w:t>
      </w:r>
    </w:p>
    <w:p>
      <w:pPr>
        <w:pStyle w:val="Heading2"/>
        <w:keepNext/>
        <w:widowControl/>
      </w:pPr>
      <w:r>
        <w:t>Evidence base</w:t>
      </w:r>
    </w:p>
    <w:tbl>
      <w:tblPr>
        <w:tblStyle w:val="TableGrid"/>
        <w:tblW w:type="dxa" w:w="9360"/>
        <w:jc w:val="left"/>
        <w:tblLayout w:type="fixed"/>
        <w:tblLook w:firstColumn="1" w:firstRow="1" w:lastColumn="0" w:lastRow="0" w:noHBand="0" w:noVBand="1" w:val="04A0"/>
        <w:tblInd w:w="120" w:type="dxa"/>
      </w:tblPr>
      <w:tblGrid>
        <w:gridCol w:w="2150"/>
        <w:gridCol w:w="7210"/>
      </w:tblGrid>
      <w:tr>
        <w:trPr>
          <w:tblHeader w:val="true"/>
          <w:cantSplit/>
        </w:trPr>
        <w:tc>
          <w:tcPr>
            <w:tcW w:type="dxa" w:w="215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Evidence class</w:t>
            </w:r>
          </w:p>
        </w:tc>
        <w:tc>
          <w:tcPr>
            <w:tcW w:type="dxa" w:w="7210"/>
            <w:shd w:fill="0B2545"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FFFFFF"/>
                <w:sz w:val="17"/>
              </w:rPr>
              <w:t>Source</w:t>
            </w:r>
          </w:p>
        </w:tc>
      </w:tr>
      <w:tr>
        <w:trPr>
          <w:cantSplit/>
        </w:trPr>
        <w:tc>
          <w:tcPr>
            <w:tcW w:type="dxa" w:w="21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Framework</w:t>
            </w:r>
          </w:p>
        </w:tc>
        <w:tc>
          <w:tcPr>
            <w:tcW w:type="dxa" w:w="72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The Autonomy Index™ Framework &amp; Methodology, Version 1.0, May 2026</w:t>
            </w:r>
          </w:p>
        </w:tc>
      </w:tr>
      <w:tr>
        <w:trPr>
          <w:cantSplit/>
        </w:trPr>
        <w:tc>
          <w:tcPr>
            <w:tcW w:type="dxa" w:w="21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Method challenge</w:t>
            </w:r>
          </w:p>
        </w:tc>
        <w:tc>
          <w:tcPr>
            <w:tcW w:type="dxa" w:w="72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The Autonomy Index™ Strategic Stress-Test, Version 1.0, May 2026</w:t>
            </w:r>
          </w:p>
        </w:tc>
      </w:tr>
      <w:tr>
        <w:trPr>
          <w:cantSplit/>
        </w:trPr>
        <w:tc>
          <w:tcPr>
            <w:tcW w:type="dxa" w:w="21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Operational analysis</w:t>
            </w:r>
          </w:p>
        </w:tc>
        <w:tc>
          <w:tcPr>
            <w:tcW w:type="dxa" w:w="72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Founding AM Book of Business Review: 33 accounts, including 30 full operational reviews or incident briefs</w:t>
            </w:r>
          </w:p>
        </w:tc>
      </w:tr>
      <w:tr>
        <w:trPr>
          <w:cantSplit/>
        </w:trPr>
        <w:tc>
          <w:tcPr>
            <w:tcW w:type="dxa" w:w="215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Supporting records</w:t>
            </w:r>
          </w:p>
        </w:tc>
        <w:tc>
          <w:tcPr>
            <w:tcW w:type="dxa" w:w="7210"/>
            <w:shd w:fill="F8FAFC" w:val="clear"/>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Handover and forward-planning records, account plans, onboarding assets, success plans, QBR materials, issue evidence and commercial schedule</w:t>
            </w:r>
          </w:p>
        </w:tc>
      </w:tr>
      <w:tr>
        <w:trPr>
          <w:cantSplit/>
        </w:trPr>
        <w:tc>
          <w:tcPr>
            <w:tcW w:type="dxa" w:w="2150"/>
            <w:tcMar>
              <w:top w:w="110" w:type="dxa"/>
              <w:start w:w="130" w:type="dxa"/>
              <w:bottom w:w="110" w:type="dxa"/>
              <w:end w:w="130" w:type="dxa"/>
            </w:tcMar>
            <w:vAlign w:val="center"/>
          </w:tcPr>
          <w:p>
            <w:pPr>
              <w:keepNext w:val="0"/>
              <w:spacing w:before="0" w:after="0" w:line="259" w:lineRule="auto"/>
              <w:jc w:val="left"/>
            </w:pPr>
            <w:r/>
            <w:r>
              <w:rPr>
                <w:rFonts w:ascii="Calibri" w:hAnsi="Calibri"/>
                <w:b/>
                <w:i w:val="0"/>
                <w:color w:val="222222"/>
                <w:sz w:val="18"/>
              </w:rPr>
              <w:t>Portfolio scope</w:t>
            </w:r>
          </w:p>
        </w:tc>
        <w:tc>
          <w:tcPr>
            <w:tcW w:type="dxa" w:w="7210"/>
            <w:tcMar>
              <w:top w:w="110" w:type="dxa"/>
              <w:start w:w="130" w:type="dxa"/>
              <w:bottom w:w="110" w:type="dxa"/>
              <w:end w:w="130" w:type="dxa"/>
            </w:tcMar>
            <w:vAlign w:val="center"/>
          </w:tcPr>
          <w:p>
            <w:pPr>
              <w:keepNext w:val="0"/>
              <w:spacing w:before="0" w:after="0" w:line="259" w:lineRule="auto"/>
              <w:jc w:val="left"/>
            </w:pPr>
            <w:r/>
            <w:r>
              <w:rPr>
                <w:rFonts w:ascii="Calibri" w:hAnsi="Calibri"/>
                <w:b w:val="0"/>
                <w:i w:val="0"/>
                <w:color w:val="222222"/>
                <w:sz w:val="18"/>
              </w:rPr>
              <w:t>36 customer and pilot accounts; more than £350k in tracked annual, pilot and contra value</w:t>
            </w:r>
          </w:p>
        </w:tc>
      </w:tr>
    </w:tbl>
    <w:p>
      <w:pPr>
        <w:keepNext w:val="0"/>
        <w:widowControl/>
        <w:spacing w:before="0" w:after="40" w:line="264" w:lineRule="auto"/>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10" w:type="dxa"/>
              <w:start w:w="130" w:type="dxa"/>
              <w:bottom w:w="110" w:type="dxa"/>
              <w:end w:w="130" w:type="dxa"/>
            </w:tcMar>
            <w:vAlign w:val="center"/>
            <w:shd w:fill="E5F3F1" w:val="clear"/>
          </w:tcPr>
          <w:p>
            <w:pPr>
              <w:keepNext w:val="0"/>
              <w:spacing w:before="0" w:after="40" w:line="264" w:lineRule="auto"/>
            </w:pPr>
            <w:r>
              <w:rPr>
                <w:rFonts w:ascii="Calibri" w:hAnsi="Calibri"/>
                <w:b/>
                <w:i w:val="0"/>
                <w:color w:val="188A8A"/>
                <w:sz w:val="18"/>
              </w:rPr>
              <w:t>FINAL CONCLUSION</w:t>
            </w:r>
          </w:p>
          <w:p>
            <w:pPr>
              <w:keepNext w:val="0"/>
              <w:spacing w:before="0" w:after="0" w:line="269" w:lineRule="auto"/>
            </w:pPr>
            <w:r>
              <w:rPr>
                <w:rFonts w:ascii="Calibri" w:hAnsi="Calibri"/>
                <w:b/>
                <w:i w:val="0"/>
                <w:color w:val="0B2545"/>
                <w:sz w:val="22"/>
              </w:rPr>
              <w:t>The platform had real AI capability. What it lacked was a fully productised system for turning that capability into repeatable customer value. The implemented Customer Success architecture made the hidden operating work visible and governable. The Autonomy Index shows why that is the prerequisite for scale, and why task automation alone should never be mistaken for workflow autonomy.</w:t>
            </w:r>
          </w:p>
        </w:tc>
      </w:tr>
    </w:tbl>
    <w:p>
      <w:pPr>
        <w:keepNext w:val="0"/>
        <w:widowControl/>
        <w:spacing w:before="0" w:after="40" w:line="264" w:lineRule="auto"/>
      </w:pP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spacing w:before="0" w:after="0" w:line="264" w:lineRule="auto"/>
      <w:jc w:val="right"/>
    </w:pPr>
    <w:r>
      <w:rPr>
        <w:rFonts w:ascii="Calibri" w:hAnsi="Calibri"/>
        <w:b w:val="0"/>
        <w:i w:val="0"/>
        <w:color w:val="667085"/>
        <w:sz w:val="17"/>
      </w:rPr>
      <w:t xml:space="preserve">CHRISTINE BARNETT  |  </w:t>
    </w:r>
    <w:r>
      <w:rPr>
        <w:rFonts w:ascii="Calibri" w:hAnsi="Calibri"/>
        <w:b w:val="0"/>
        <w:i w:val="0"/>
        <w:color w:val="667085"/>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0" w:line="264" w:lineRule="auto"/>
      <w:jc w:val="left"/>
    </w:pPr>
    <w:r>
      <w:rPr>
        <w:rFonts w:ascii="Calibri" w:hAnsi="Calibri"/>
        <w:b/>
        <w:i w:val="0"/>
        <w:color w:val="667085"/>
        <w:sz w:val="17"/>
      </w:rPr>
      <w:t>THE AUTONOMY INDEX™  |  APPLIED CASE STUDY 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64"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100" w:line="264" w:lineRule="auto"/>
      <w:contextualSpacing/>
    </w:pPr>
    <w:rPr>
      <w:rFonts w:ascii="Calibri" w:hAnsi="Calibri"/>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64"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Autonomy Index Applied Case Study 001</dc:title>
  <dc:subject>A retrospective workflow-level application of the Autonomy Index</dc:subject>
  <dc:creator>Christine Barnett</dc:creator>
  <cp:keywords>Autonomy Index, AI adoption, workflow autonomy, AI governance, Customer Success</cp:keywords>
  <dc:description>generated by python-docx</dc:description>
  <cp:lastModifiedBy/>
  <cp:revision>1</cp:revision>
  <dcterms:created xsi:type="dcterms:W3CDTF">2013-12-23T23:15:00Z</dcterms:created>
  <dcterms:modified xsi:type="dcterms:W3CDTF">2013-12-23T23:15:00Z</dcterms:modified>
  <cp:category/>
</cp:coreProperties>
</file>